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811F" w14:textId="77777777" w:rsidR="008A2AF7" w:rsidRDefault="008A2AF7" w:rsidP="00061380">
      <w:pPr>
        <w:spacing w:before="0" w:after="0"/>
      </w:pPr>
    </w:p>
    <w:p w14:paraId="5ACD65D7" w14:textId="77777777" w:rsidR="0013252A" w:rsidRDefault="0013252A" w:rsidP="00061380">
      <w:pPr>
        <w:spacing w:before="0" w:after="0"/>
      </w:pPr>
    </w:p>
    <w:p w14:paraId="14C8D24F"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7738D512" w14:textId="77777777"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790"/>
        <w:gridCol w:w="5884"/>
        <w:gridCol w:w="5886"/>
      </w:tblGrid>
      <w:tr w:rsidR="0013252A" w14:paraId="3FF8540B" w14:textId="77777777" w:rsidTr="00F137C3">
        <w:trPr>
          <w:trHeight w:val="276"/>
        </w:trPr>
        <w:tc>
          <w:tcPr>
            <w:tcW w:w="14560" w:type="dxa"/>
            <w:gridSpan w:val="3"/>
            <w:shd w:val="clear" w:color="auto" w:fill="C6D9F1" w:themeFill="text2" w:themeFillTint="33"/>
          </w:tcPr>
          <w:p w14:paraId="5A531277" w14:textId="77777777" w:rsidR="0013252A" w:rsidRPr="0013252A" w:rsidRDefault="0013252A" w:rsidP="0013252A">
            <w:pPr>
              <w:spacing w:before="0" w:after="0"/>
              <w:rPr>
                <w:b/>
              </w:rPr>
            </w:pPr>
            <w:r>
              <w:rPr>
                <w:b/>
              </w:rPr>
              <w:t xml:space="preserve">University name: </w:t>
            </w:r>
            <w:r w:rsidR="00BC7D4B">
              <w:rPr>
                <w:b/>
              </w:rPr>
              <w:t>UNIVERSITY OF QUEENSLAND</w:t>
            </w:r>
          </w:p>
        </w:tc>
      </w:tr>
      <w:tr w:rsidR="0013252A" w14:paraId="6660013B" w14:textId="77777777" w:rsidTr="00F137C3">
        <w:trPr>
          <w:trHeight w:val="276"/>
        </w:trPr>
        <w:tc>
          <w:tcPr>
            <w:tcW w:w="2790" w:type="dxa"/>
            <w:shd w:val="clear" w:color="auto" w:fill="D9D9D9" w:themeFill="background1" w:themeFillShade="D9"/>
          </w:tcPr>
          <w:p w14:paraId="34BD0AA8" w14:textId="77777777" w:rsidR="0013252A" w:rsidRPr="0013252A" w:rsidRDefault="0013252A" w:rsidP="0013252A">
            <w:pPr>
              <w:spacing w:before="0" w:after="0"/>
              <w:jc w:val="center"/>
              <w:rPr>
                <w:b/>
              </w:rPr>
            </w:pPr>
            <w:r w:rsidRPr="0013252A">
              <w:rPr>
                <w:b/>
              </w:rPr>
              <w:t>Recommendation</w:t>
            </w:r>
            <w:r>
              <w:rPr>
                <w:b/>
              </w:rPr>
              <w:t xml:space="preserve"> no.</w:t>
            </w:r>
          </w:p>
        </w:tc>
        <w:tc>
          <w:tcPr>
            <w:tcW w:w="5884" w:type="dxa"/>
            <w:shd w:val="clear" w:color="auto" w:fill="D9D9D9" w:themeFill="background1" w:themeFillShade="D9"/>
          </w:tcPr>
          <w:p w14:paraId="534E8EA5" w14:textId="77777777" w:rsidR="0013252A" w:rsidRDefault="0013252A" w:rsidP="0013252A">
            <w:pPr>
              <w:spacing w:before="0" w:after="0"/>
              <w:jc w:val="center"/>
              <w:rPr>
                <w:b/>
              </w:rPr>
            </w:pPr>
            <w:r>
              <w:rPr>
                <w:b/>
              </w:rPr>
              <w:t>Action already taken</w:t>
            </w:r>
          </w:p>
        </w:tc>
        <w:tc>
          <w:tcPr>
            <w:tcW w:w="5886" w:type="dxa"/>
            <w:shd w:val="clear" w:color="auto" w:fill="D9D9D9" w:themeFill="background1" w:themeFillShade="D9"/>
          </w:tcPr>
          <w:p w14:paraId="07C331F4" w14:textId="77777777" w:rsidR="0013252A" w:rsidRDefault="0013252A" w:rsidP="0013252A">
            <w:pPr>
              <w:spacing w:before="0" w:after="0"/>
              <w:jc w:val="center"/>
              <w:rPr>
                <w:b/>
              </w:rPr>
            </w:pPr>
            <w:r>
              <w:rPr>
                <w:b/>
              </w:rPr>
              <w:t>Planned/future action</w:t>
            </w:r>
          </w:p>
        </w:tc>
      </w:tr>
      <w:tr w:rsidR="0013252A" w14:paraId="191EA33F" w14:textId="77777777" w:rsidTr="00F137C3">
        <w:trPr>
          <w:trHeight w:val="276"/>
        </w:trPr>
        <w:tc>
          <w:tcPr>
            <w:tcW w:w="2790" w:type="dxa"/>
          </w:tcPr>
          <w:p w14:paraId="0C1C18FE" w14:textId="77777777" w:rsidR="0013252A" w:rsidRDefault="0013252A" w:rsidP="0013252A">
            <w:pPr>
              <w:spacing w:before="0" w:after="0"/>
              <w:jc w:val="center"/>
            </w:pPr>
            <w:r>
              <w:t>1</w:t>
            </w:r>
          </w:p>
          <w:p w14:paraId="2CF7729C" w14:textId="77777777" w:rsidR="00350434" w:rsidRPr="00350434" w:rsidRDefault="00350434" w:rsidP="0013252A">
            <w:pPr>
              <w:spacing w:before="0" w:after="0"/>
              <w:jc w:val="center"/>
            </w:pPr>
            <w:r w:rsidRPr="00350434">
              <w:rPr>
                <w:rFonts w:asciiTheme="majorHAnsi" w:hAnsiTheme="majorHAnsi" w:cstheme="majorHAnsi"/>
                <w:bCs/>
                <w:sz w:val="16"/>
              </w:rPr>
              <w:t>Vice-Chancellors take direct responsibility to implement recommendations, including decision-making and monitoring and evaluation of actions taken.  Establish an advisory body.  Develop an action plan.</w:t>
            </w:r>
          </w:p>
        </w:tc>
        <w:tc>
          <w:tcPr>
            <w:tcW w:w="5884" w:type="dxa"/>
          </w:tcPr>
          <w:p w14:paraId="2BF49633" w14:textId="77777777" w:rsidR="00F04560" w:rsidRPr="000F2AF9" w:rsidRDefault="00F04560" w:rsidP="00F04560">
            <w:pPr>
              <w:spacing w:before="0" w:after="160" w:line="259" w:lineRule="auto"/>
              <w:rPr>
                <w:rFonts w:ascii="Calibri Light" w:hAnsi="Calibri Light" w:cstheme="majorHAnsi"/>
                <w:sz w:val="20"/>
                <w:shd w:val="clear" w:color="auto" w:fill="FFFFFF"/>
              </w:rPr>
            </w:pPr>
            <w:r w:rsidRPr="000F2AF9">
              <w:rPr>
                <w:rFonts w:ascii="Calibri Light" w:hAnsi="Calibri Light" w:cstheme="majorHAnsi"/>
                <w:sz w:val="20"/>
              </w:rPr>
              <w:t xml:space="preserve">UQ Vice-Chancellor and President Professor Peter </w:t>
            </w:r>
            <w:r w:rsidRPr="000F2AF9">
              <w:rPr>
                <w:rFonts w:ascii="Calibri Light" w:hAnsi="Calibri Light" w:cstheme="majorHAnsi"/>
                <w:sz w:val="20"/>
                <w:shd w:val="clear" w:color="auto" w:fill="FFFFFF"/>
              </w:rPr>
              <w:t>Høj established and led the Sexual Assault Working Group in 2016, which developed and operationalised an action plan prior to the report release in August 2017.</w:t>
            </w:r>
          </w:p>
          <w:p w14:paraId="6132FFF6" w14:textId="77777777" w:rsidR="00F04560" w:rsidRPr="000F2AF9" w:rsidRDefault="00F04560" w:rsidP="00F04560">
            <w:pPr>
              <w:spacing w:before="0" w:after="160" w:line="259" w:lineRule="auto"/>
              <w:rPr>
                <w:rFonts w:ascii="Calibri Light" w:hAnsi="Calibri Light" w:cstheme="majorHAnsi"/>
                <w:sz w:val="20"/>
                <w:shd w:val="clear" w:color="auto" w:fill="FFFFFF"/>
              </w:rPr>
            </w:pPr>
            <w:r w:rsidRPr="000F2AF9">
              <w:rPr>
                <w:rFonts w:ascii="Calibri Light" w:hAnsi="Calibri Light" w:cstheme="majorHAnsi"/>
                <w:sz w:val="20"/>
                <w:shd w:val="clear" w:color="auto" w:fill="FFFFFF"/>
              </w:rPr>
              <w:t xml:space="preserve">During, and since the report release, Professor Høj has been very clear about the University’s zero tolerance stance on sexual assault and harassment and has been quoted by national and international media.  </w:t>
            </w:r>
          </w:p>
          <w:p w14:paraId="7C926D9C" w14:textId="15F5D851" w:rsidR="0013252A" w:rsidRPr="00A84C57" w:rsidRDefault="00F04560" w:rsidP="00240356">
            <w:pPr>
              <w:spacing w:before="0" w:after="160" w:line="259" w:lineRule="auto"/>
              <w:rPr>
                <w:rFonts w:asciiTheme="minorHAnsi" w:hAnsiTheme="minorHAnsi" w:cstheme="minorHAnsi"/>
                <w:sz w:val="20"/>
                <w:szCs w:val="20"/>
              </w:rPr>
            </w:pPr>
            <w:r w:rsidRPr="000F2AF9">
              <w:rPr>
                <w:rFonts w:ascii="Calibri Light" w:hAnsi="Calibri Light" w:cstheme="majorHAnsi"/>
                <w:sz w:val="20"/>
                <w:shd w:val="clear" w:color="auto" w:fill="FFFFFF"/>
              </w:rPr>
              <w:t xml:space="preserve">The Working Group was absorbed into an Advisory Group in late 2017 who are responsible for reporting the sexual misconduct and </w:t>
            </w:r>
            <w:r w:rsidR="00425E7C" w:rsidRPr="000F2AF9">
              <w:rPr>
                <w:rFonts w:ascii="Calibri Light" w:hAnsi="Calibri Light" w:cstheme="majorHAnsi"/>
                <w:sz w:val="20"/>
                <w:shd w:val="clear" w:color="auto" w:fill="FFFFFF"/>
              </w:rPr>
              <w:t xml:space="preserve">assault data and identifying opportunities for </w:t>
            </w:r>
            <w:r w:rsidR="009012A0" w:rsidRPr="000F2AF9">
              <w:rPr>
                <w:rFonts w:ascii="Calibri Light" w:hAnsi="Calibri Light" w:cstheme="majorHAnsi"/>
                <w:sz w:val="20"/>
                <w:shd w:val="clear" w:color="auto" w:fill="FFFFFF"/>
              </w:rPr>
              <w:t>development /</w:t>
            </w:r>
            <w:r w:rsidR="00425E7C" w:rsidRPr="000F2AF9">
              <w:rPr>
                <w:rFonts w:ascii="Calibri Light" w:hAnsi="Calibri Light" w:cstheme="majorHAnsi"/>
                <w:sz w:val="20"/>
                <w:shd w:val="clear" w:color="auto" w:fill="FFFFFF"/>
              </w:rPr>
              <w:t>progress.</w:t>
            </w:r>
            <w:r w:rsidR="009012A0" w:rsidRPr="000F2AF9">
              <w:rPr>
                <w:rFonts w:ascii="Calibri Light" w:hAnsi="Calibri Light" w:cstheme="majorHAnsi"/>
                <w:sz w:val="20"/>
                <w:shd w:val="clear" w:color="auto" w:fill="FFFFFF"/>
              </w:rPr>
              <w:t xml:space="preserve"> The Advisory Group has a number of subject matter experts and external support to ensure the Vice-Chancellor and UQ make informed improvements.</w:t>
            </w:r>
            <w:r w:rsidR="009012A0" w:rsidRPr="000F2AF9">
              <w:rPr>
                <w:rFonts w:asciiTheme="majorHAnsi" w:hAnsiTheme="majorHAnsi" w:cstheme="majorHAnsi"/>
                <w:sz w:val="20"/>
                <w:shd w:val="clear" w:color="auto" w:fill="FFFFFF"/>
              </w:rPr>
              <w:t xml:space="preserve"> </w:t>
            </w:r>
          </w:p>
        </w:tc>
        <w:tc>
          <w:tcPr>
            <w:tcW w:w="5886" w:type="dxa"/>
          </w:tcPr>
          <w:p w14:paraId="1883F36F" w14:textId="77777777" w:rsidR="0013252A" w:rsidRPr="000F2AF9" w:rsidRDefault="00425E7C" w:rsidP="00722BD1">
            <w:pPr>
              <w:spacing w:before="0" w:after="160" w:line="259" w:lineRule="auto"/>
              <w:rPr>
                <w:rFonts w:ascii="Calibri Light" w:hAnsi="Calibri Light" w:cstheme="minorHAnsi"/>
                <w:sz w:val="20"/>
                <w:szCs w:val="20"/>
              </w:rPr>
            </w:pPr>
            <w:r w:rsidRPr="000F2AF9">
              <w:rPr>
                <w:rFonts w:ascii="Calibri Light" w:hAnsi="Calibri Light" w:cstheme="minorHAnsi"/>
                <w:sz w:val="20"/>
                <w:szCs w:val="20"/>
              </w:rPr>
              <w:t>The Advisory Group will continue to meet to provide updates on data from the SMS Unit</w:t>
            </w:r>
            <w:r w:rsidR="0000556F" w:rsidRPr="000F2AF9">
              <w:rPr>
                <w:rFonts w:ascii="Calibri Light" w:hAnsi="Calibri Light" w:cstheme="minorHAnsi"/>
                <w:sz w:val="20"/>
                <w:szCs w:val="20"/>
              </w:rPr>
              <w:t xml:space="preserve"> and identify appropriate actions.</w:t>
            </w:r>
          </w:p>
        </w:tc>
      </w:tr>
      <w:tr w:rsidR="005B6BD3" w14:paraId="2AB0758D" w14:textId="77777777" w:rsidTr="00F137C3">
        <w:trPr>
          <w:trHeight w:val="276"/>
        </w:trPr>
        <w:tc>
          <w:tcPr>
            <w:tcW w:w="2790" w:type="dxa"/>
          </w:tcPr>
          <w:p w14:paraId="47696B06" w14:textId="77777777" w:rsidR="005B6BD3" w:rsidRDefault="005B6BD3" w:rsidP="005B6BD3">
            <w:pPr>
              <w:spacing w:before="0" w:after="0"/>
              <w:jc w:val="center"/>
            </w:pPr>
            <w:r w:rsidRPr="0013252A">
              <w:t>2</w:t>
            </w:r>
          </w:p>
          <w:p w14:paraId="323B956E" w14:textId="77777777" w:rsidR="005B6BD3" w:rsidRPr="00350434" w:rsidRDefault="005B6BD3" w:rsidP="005B6BD3">
            <w:pPr>
              <w:spacing w:before="0" w:after="0"/>
              <w:jc w:val="center"/>
            </w:pPr>
            <w:r w:rsidRPr="00350434">
              <w:rPr>
                <w:rFonts w:asciiTheme="majorHAnsi" w:hAnsiTheme="majorHAnsi" w:cstheme="majorHAnsi"/>
                <w:bCs/>
                <w:sz w:val="16"/>
              </w:rPr>
              <w:t>Universities develop a plan for addressing the drivers of sexual assault and sexual harassment that includes education programs, and identifies existing resources and communications campaigns that reinforce key messages</w:t>
            </w:r>
          </w:p>
        </w:tc>
        <w:tc>
          <w:tcPr>
            <w:tcW w:w="5884" w:type="dxa"/>
          </w:tcPr>
          <w:p w14:paraId="32E0650B" w14:textId="77777777" w:rsidR="005B6BD3" w:rsidRPr="000F2AF9" w:rsidRDefault="00722BD1" w:rsidP="00722BD1">
            <w:pPr>
              <w:spacing w:before="0" w:after="160" w:line="259" w:lineRule="auto"/>
              <w:rPr>
                <w:rFonts w:ascii="Calibri Light" w:hAnsi="Calibri Light" w:cstheme="minorHAnsi"/>
                <w:sz w:val="20"/>
                <w:szCs w:val="20"/>
              </w:rPr>
            </w:pPr>
            <w:r w:rsidRPr="000F2AF9">
              <w:rPr>
                <w:rFonts w:ascii="Calibri Light" w:hAnsi="Calibri Light" w:cstheme="minorHAnsi"/>
                <w:sz w:val="20"/>
                <w:szCs w:val="20"/>
              </w:rPr>
              <w:t>The Sexual Misconduct Support (SMS) Unit was established in July 2017 to lead on education, training and support for staff and students.</w:t>
            </w:r>
          </w:p>
          <w:p w14:paraId="659126CB" w14:textId="1B4B6025" w:rsidR="00F04560" w:rsidRPr="000F2AF9" w:rsidRDefault="000F2AF9" w:rsidP="000F2AF9">
            <w:pPr>
              <w:spacing w:before="0" w:after="160" w:line="259" w:lineRule="auto"/>
              <w:rPr>
                <w:rFonts w:ascii="Calibri Light" w:hAnsi="Calibri Light" w:cstheme="minorHAnsi"/>
                <w:sz w:val="20"/>
                <w:szCs w:val="20"/>
              </w:rPr>
            </w:pPr>
            <w:r>
              <w:rPr>
                <w:rFonts w:ascii="Calibri Light" w:hAnsi="Calibri Light" w:cstheme="minorHAnsi"/>
                <w:sz w:val="20"/>
                <w:szCs w:val="20"/>
              </w:rPr>
              <w:t xml:space="preserve">It has </w:t>
            </w:r>
            <w:r w:rsidR="00F04560" w:rsidRPr="000F2AF9">
              <w:rPr>
                <w:rFonts w:ascii="Calibri Light" w:hAnsi="Calibri Light" w:cstheme="minorHAnsi"/>
                <w:sz w:val="20"/>
                <w:szCs w:val="20"/>
              </w:rPr>
              <w:t>released two e</w:t>
            </w:r>
            <w:r>
              <w:rPr>
                <w:rFonts w:ascii="Calibri Light" w:hAnsi="Calibri Light" w:cstheme="minorHAnsi"/>
                <w:sz w:val="20"/>
                <w:szCs w:val="20"/>
              </w:rPr>
              <w:t>ducational campaigns since its</w:t>
            </w:r>
            <w:r w:rsidR="00F04560" w:rsidRPr="000F2AF9">
              <w:rPr>
                <w:rFonts w:ascii="Calibri Light" w:hAnsi="Calibri Light" w:cstheme="minorHAnsi"/>
                <w:sz w:val="20"/>
                <w:szCs w:val="20"/>
              </w:rPr>
              <w:t xml:space="preserve"> conception, delivered consent, ethical bystander, and disclosure training to both students and staff, established partnerships with external organisations to facilitate student support, and provided counselling support and formal reporting guidance to survivors of sexual assault and harassment. </w:t>
            </w:r>
          </w:p>
        </w:tc>
        <w:tc>
          <w:tcPr>
            <w:tcW w:w="5886" w:type="dxa"/>
          </w:tcPr>
          <w:p w14:paraId="0C8A24BF" w14:textId="4BD26AAA" w:rsidR="005B6BD3" w:rsidRPr="000F2AF9" w:rsidRDefault="000F2AF9" w:rsidP="00240356">
            <w:pPr>
              <w:spacing w:before="0" w:after="160" w:line="259" w:lineRule="auto"/>
              <w:rPr>
                <w:rFonts w:ascii="Calibri Light" w:hAnsi="Calibri Light" w:cstheme="minorHAnsi"/>
                <w:sz w:val="20"/>
                <w:szCs w:val="20"/>
              </w:rPr>
            </w:pPr>
            <w:r>
              <w:rPr>
                <w:rFonts w:ascii="Calibri Light" w:hAnsi="Calibri Light" w:cstheme="minorHAnsi"/>
                <w:sz w:val="20"/>
                <w:szCs w:val="20"/>
              </w:rPr>
              <w:t xml:space="preserve">The SMS Unit </w:t>
            </w:r>
            <w:r w:rsidR="00F04560" w:rsidRPr="000F2AF9">
              <w:rPr>
                <w:rFonts w:ascii="Calibri Light" w:hAnsi="Calibri Light" w:cstheme="minorHAnsi"/>
                <w:sz w:val="20"/>
                <w:szCs w:val="20"/>
              </w:rPr>
              <w:t xml:space="preserve">will continue to deliver </w:t>
            </w:r>
            <w:r>
              <w:rPr>
                <w:rFonts w:ascii="Calibri Light" w:hAnsi="Calibri Light" w:cstheme="minorHAnsi"/>
                <w:sz w:val="20"/>
                <w:szCs w:val="20"/>
              </w:rPr>
              <w:t xml:space="preserve">current activities and is </w:t>
            </w:r>
            <w:r w:rsidR="00F04560" w:rsidRPr="000F2AF9">
              <w:rPr>
                <w:rFonts w:ascii="Calibri Light" w:hAnsi="Calibri Light" w:cstheme="minorHAnsi"/>
                <w:sz w:val="20"/>
                <w:szCs w:val="20"/>
              </w:rPr>
              <w:t>looking to establish an enhanced training program; release a new educational campaign in collaboration with the UQ Union; and further develop prevention techniques and strategies.</w:t>
            </w:r>
          </w:p>
        </w:tc>
      </w:tr>
    </w:tbl>
    <w:p w14:paraId="1882DFEC" w14:textId="77777777" w:rsidR="00E7149A" w:rsidRDefault="00E7149A">
      <w:r>
        <w:br w:type="page"/>
      </w:r>
    </w:p>
    <w:tbl>
      <w:tblPr>
        <w:tblStyle w:val="TableGrid"/>
        <w:tblW w:w="0" w:type="auto"/>
        <w:tblLook w:val="04A0" w:firstRow="1" w:lastRow="0" w:firstColumn="1" w:lastColumn="0" w:noHBand="0" w:noVBand="1"/>
      </w:tblPr>
      <w:tblGrid>
        <w:gridCol w:w="2790"/>
        <w:gridCol w:w="5884"/>
        <w:gridCol w:w="5886"/>
      </w:tblGrid>
      <w:tr w:rsidR="005B6BD3" w14:paraId="7FC41262" w14:textId="77777777" w:rsidTr="00F137C3">
        <w:trPr>
          <w:trHeight w:val="276"/>
        </w:trPr>
        <w:tc>
          <w:tcPr>
            <w:tcW w:w="2790" w:type="dxa"/>
          </w:tcPr>
          <w:p w14:paraId="4E9A649C" w14:textId="25285CF5" w:rsidR="005B6BD3" w:rsidRDefault="005B6BD3" w:rsidP="005B6BD3">
            <w:pPr>
              <w:spacing w:before="0" w:after="0"/>
              <w:jc w:val="center"/>
            </w:pPr>
            <w:r w:rsidRPr="0013252A">
              <w:lastRenderedPageBreak/>
              <w:t>3</w:t>
            </w:r>
          </w:p>
          <w:p w14:paraId="14128BF7" w14:textId="77777777" w:rsidR="005B6BD3" w:rsidRPr="00350434" w:rsidRDefault="005B6BD3" w:rsidP="005B6BD3">
            <w:pPr>
              <w:spacing w:before="0" w:after="0"/>
              <w:jc w:val="center"/>
            </w:pPr>
            <w:r w:rsidRPr="00350434">
              <w:rPr>
                <w:rFonts w:asciiTheme="majorHAnsi" w:hAnsiTheme="majorHAnsi" w:cstheme="majorHAnsi"/>
                <w:bCs/>
                <w:sz w:val="16"/>
              </w:rPr>
              <w:t>Universities should ensure students and staff know about support services and reporting processes for sexual assault or sexual harassment</w:t>
            </w:r>
          </w:p>
        </w:tc>
        <w:tc>
          <w:tcPr>
            <w:tcW w:w="5884" w:type="dxa"/>
          </w:tcPr>
          <w:p w14:paraId="26904DA9" w14:textId="77777777" w:rsidR="005B6BD3" w:rsidRPr="00EB3E23" w:rsidRDefault="005B6BD3" w:rsidP="005B6BD3">
            <w:pPr>
              <w:spacing w:before="0" w:after="160" w:line="259" w:lineRule="auto"/>
              <w:rPr>
                <w:rFonts w:ascii="Calibri Light" w:hAnsi="Calibri Light" w:cstheme="minorHAnsi"/>
                <w:sz w:val="20"/>
                <w:szCs w:val="20"/>
              </w:rPr>
            </w:pPr>
            <w:r w:rsidRPr="00EB3E23">
              <w:rPr>
                <w:rFonts w:ascii="Calibri Light" w:hAnsi="Calibri Light" w:cstheme="minorHAnsi"/>
                <w:sz w:val="20"/>
                <w:szCs w:val="20"/>
              </w:rPr>
              <w:t>The UQ Respect website was launched at the end of July 2017. It contains online resources, and clear guidance for students and staff.</w:t>
            </w:r>
          </w:p>
          <w:p w14:paraId="09001873" w14:textId="77777777" w:rsidR="005B6BD3" w:rsidRPr="00EB3E23" w:rsidRDefault="005B6BD3" w:rsidP="005B6BD3">
            <w:pPr>
              <w:spacing w:before="0" w:after="160" w:line="259" w:lineRule="auto"/>
              <w:rPr>
                <w:rFonts w:ascii="Calibri Light" w:hAnsi="Calibri Light" w:cstheme="minorHAnsi"/>
                <w:sz w:val="20"/>
                <w:szCs w:val="20"/>
              </w:rPr>
            </w:pPr>
            <w:r w:rsidRPr="00EB3E23">
              <w:rPr>
                <w:rFonts w:ascii="Calibri Light" w:hAnsi="Calibri Light" w:cstheme="minorHAnsi"/>
                <w:sz w:val="20"/>
                <w:szCs w:val="20"/>
              </w:rPr>
              <w:t>A supporting awareness campaign was developed (including emails, posters, and forums) to generate awareness of the website and the SMS Unit.</w:t>
            </w:r>
          </w:p>
          <w:p w14:paraId="63B6B543" w14:textId="6AAAA7B1" w:rsidR="005B6BD3" w:rsidRPr="00EB3E23" w:rsidRDefault="005B6BD3" w:rsidP="005B6BD3">
            <w:pPr>
              <w:spacing w:before="0" w:after="160" w:line="259" w:lineRule="auto"/>
              <w:rPr>
                <w:rFonts w:ascii="Calibri Light" w:hAnsi="Calibri Light" w:cstheme="minorHAnsi"/>
                <w:sz w:val="20"/>
                <w:szCs w:val="20"/>
              </w:rPr>
            </w:pPr>
            <w:r w:rsidRPr="00EB3E23">
              <w:rPr>
                <w:rFonts w:ascii="Calibri Light" w:hAnsi="Calibri Light" w:cstheme="minorHAnsi"/>
                <w:sz w:val="20"/>
                <w:szCs w:val="20"/>
              </w:rPr>
              <w:t xml:space="preserve">A </w:t>
            </w:r>
            <w:r w:rsidRPr="00EB3E23">
              <w:rPr>
                <w:rFonts w:ascii="Calibri Light" w:hAnsi="Calibri Light" w:cstheme="minorHAnsi"/>
                <w:i/>
                <w:sz w:val="20"/>
                <w:szCs w:val="20"/>
              </w:rPr>
              <w:t>Help a Survivor</w:t>
            </w:r>
            <w:r w:rsidRPr="00EB3E23">
              <w:rPr>
                <w:rFonts w:ascii="Calibri Light" w:hAnsi="Calibri Light" w:cstheme="minorHAnsi"/>
                <w:sz w:val="20"/>
                <w:szCs w:val="20"/>
              </w:rPr>
              <w:t xml:space="preserve"> guide was published online and </w:t>
            </w:r>
            <w:r w:rsidR="00240356">
              <w:rPr>
                <w:rFonts w:ascii="Calibri Light" w:hAnsi="Calibri Light" w:cstheme="minorHAnsi"/>
                <w:sz w:val="20"/>
                <w:szCs w:val="20"/>
              </w:rPr>
              <w:t xml:space="preserve">print copies were </w:t>
            </w:r>
            <w:r w:rsidRPr="00EB3E23">
              <w:rPr>
                <w:rFonts w:ascii="Calibri Light" w:hAnsi="Calibri Light" w:cstheme="minorHAnsi"/>
                <w:sz w:val="20"/>
                <w:szCs w:val="20"/>
              </w:rPr>
              <w:t>physically distributed across all campuses.</w:t>
            </w:r>
          </w:p>
          <w:p w14:paraId="7354C219" w14:textId="77777777" w:rsidR="005B6BD3" w:rsidRPr="00EB3E23" w:rsidRDefault="005B6BD3" w:rsidP="005B6BD3">
            <w:pPr>
              <w:spacing w:before="0" w:after="160" w:line="259" w:lineRule="auto"/>
              <w:rPr>
                <w:rFonts w:ascii="Calibri Light" w:hAnsi="Calibri Light" w:cstheme="minorHAnsi"/>
                <w:sz w:val="20"/>
                <w:szCs w:val="20"/>
              </w:rPr>
            </w:pPr>
            <w:r w:rsidRPr="00EB3E23">
              <w:rPr>
                <w:rFonts w:ascii="Calibri Light" w:hAnsi="Calibri Light" w:cstheme="minorHAnsi"/>
                <w:sz w:val="20"/>
                <w:szCs w:val="20"/>
              </w:rPr>
              <w:t>The Consent Matters module has been widely promoted across multiple platforms.</w:t>
            </w:r>
          </w:p>
          <w:p w14:paraId="15A73577" w14:textId="2A09BC25" w:rsidR="005B6BD3" w:rsidRPr="00EB3E23" w:rsidRDefault="005B6BD3" w:rsidP="005B6BD3">
            <w:pPr>
              <w:spacing w:before="0" w:after="160" w:line="259" w:lineRule="auto"/>
              <w:rPr>
                <w:rFonts w:ascii="Calibri Light" w:hAnsi="Calibri Light" w:cstheme="minorHAnsi"/>
                <w:sz w:val="20"/>
                <w:szCs w:val="20"/>
              </w:rPr>
            </w:pPr>
            <w:r w:rsidRPr="00EB3E23">
              <w:rPr>
                <w:rFonts w:ascii="Calibri Light" w:hAnsi="Calibri Light" w:cstheme="minorHAnsi"/>
                <w:sz w:val="20"/>
                <w:szCs w:val="20"/>
              </w:rPr>
              <w:t>Improved the SEO</w:t>
            </w:r>
            <w:r w:rsidR="00890BFD">
              <w:rPr>
                <w:rFonts w:ascii="Calibri Light" w:hAnsi="Calibri Light" w:cstheme="minorHAnsi"/>
                <w:sz w:val="20"/>
                <w:szCs w:val="20"/>
              </w:rPr>
              <w:t xml:space="preserve"> (search engine optimisation)</w:t>
            </w:r>
            <w:r w:rsidRPr="00EB3E23">
              <w:rPr>
                <w:rFonts w:ascii="Calibri Light" w:hAnsi="Calibri Light" w:cstheme="minorHAnsi"/>
                <w:sz w:val="20"/>
                <w:szCs w:val="20"/>
              </w:rPr>
              <w:t xml:space="preserve"> of the Student Charter and Prevention of Sexual Harassment Policy within web resources.</w:t>
            </w:r>
          </w:p>
        </w:tc>
        <w:tc>
          <w:tcPr>
            <w:tcW w:w="5886" w:type="dxa"/>
          </w:tcPr>
          <w:p w14:paraId="4ABADDC9" w14:textId="463EF316" w:rsidR="005B6BD3" w:rsidRPr="00EB3E23" w:rsidRDefault="005B6BD3" w:rsidP="005B6BD3">
            <w:pPr>
              <w:spacing w:before="0" w:after="0"/>
              <w:rPr>
                <w:rFonts w:ascii="Calibri Light" w:hAnsi="Calibri Light" w:cstheme="minorHAnsi"/>
                <w:sz w:val="20"/>
                <w:szCs w:val="20"/>
              </w:rPr>
            </w:pPr>
            <w:r w:rsidRPr="00EB3E23">
              <w:rPr>
                <w:rFonts w:ascii="Calibri Light" w:hAnsi="Calibri Light" w:cstheme="minorHAnsi"/>
                <w:sz w:val="20"/>
                <w:szCs w:val="20"/>
              </w:rPr>
              <w:t>An updated educational campaign</w:t>
            </w:r>
            <w:r w:rsidR="0019567B" w:rsidRPr="00EB3E23">
              <w:rPr>
                <w:rFonts w:ascii="Calibri Light" w:hAnsi="Calibri Light" w:cstheme="minorHAnsi"/>
                <w:sz w:val="20"/>
                <w:szCs w:val="20"/>
              </w:rPr>
              <w:t xml:space="preserve"> will </w:t>
            </w:r>
            <w:r w:rsidRPr="00EB3E23">
              <w:rPr>
                <w:rFonts w:ascii="Calibri Light" w:hAnsi="Calibri Light" w:cstheme="minorHAnsi"/>
                <w:sz w:val="20"/>
                <w:szCs w:val="20"/>
              </w:rPr>
              <w:t xml:space="preserve">launch in </w:t>
            </w:r>
            <w:r w:rsidR="0019567B" w:rsidRPr="00EB3E23">
              <w:rPr>
                <w:rFonts w:ascii="Calibri Light" w:hAnsi="Calibri Light" w:cstheme="minorHAnsi"/>
                <w:sz w:val="20"/>
                <w:szCs w:val="20"/>
              </w:rPr>
              <w:t xml:space="preserve">late July </w:t>
            </w:r>
            <w:r w:rsidRPr="00EB3E23">
              <w:rPr>
                <w:rFonts w:ascii="Calibri Light" w:hAnsi="Calibri Light" w:cstheme="minorHAnsi"/>
                <w:sz w:val="20"/>
                <w:szCs w:val="20"/>
              </w:rPr>
              <w:t xml:space="preserve">2018 that will continue to </w:t>
            </w:r>
            <w:r w:rsidR="00A82615" w:rsidRPr="00EB3E23">
              <w:rPr>
                <w:rFonts w:ascii="Calibri Light" w:hAnsi="Calibri Light" w:cstheme="minorHAnsi"/>
                <w:sz w:val="20"/>
                <w:szCs w:val="20"/>
              </w:rPr>
              <w:t xml:space="preserve">address behavioural expectations and focus on effective bystander responsibilities as well as consent. </w:t>
            </w:r>
          </w:p>
          <w:p w14:paraId="7DDB53C3" w14:textId="77777777" w:rsidR="005B6BD3" w:rsidRPr="00EB3E23" w:rsidRDefault="005B6BD3" w:rsidP="005B6BD3">
            <w:pPr>
              <w:spacing w:before="0" w:after="0"/>
              <w:rPr>
                <w:rFonts w:ascii="Calibri Light" w:hAnsi="Calibri Light" w:cstheme="minorHAnsi"/>
                <w:sz w:val="20"/>
                <w:szCs w:val="20"/>
              </w:rPr>
            </w:pPr>
          </w:p>
          <w:p w14:paraId="622967AF" w14:textId="26B16A5E" w:rsidR="005B6BD3" w:rsidRPr="00EB3E23" w:rsidRDefault="005B6BD3" w:rsidP="005B6BD3">
            <w:pPr>
              <w:spacing w:before="0" w:after="0"/>
              <w:rPr>
                <w:rFonts w:ascii="Calibri Light" w:hAnsi="Calibri Light" w:cstheme="minorHAnsi"/>
                <w:sz w:val="20"/>
                <w:szCs w:val="20"/>
              </w:rPr>
            </w:pPr>
            <w:r w:rsidRPr="00EB3E23">
              <w:rPr>
                <w:rFonts w:ascii="Calibri Light" w:hAnsi="Calibri Light" w:cstheme="minorHAnsi"/>
                <w:sz w:val="20"/>
                <w:szCs w:val="20"/>
              </w:rPr>
              <w:t xml:space="preserve">The Consent Matters module is constantly improved and updated </w:t>
            </w:r>
            <w:r w:rsidR="00890BFD">
              <w:rPr>
                <w:rFonts w:ascii="Calibri Light" w:hAnsi="Calibri Light" w:cstheme="minorHAnsi"/>
                <w:sz w:val="20"/>
                <w:szCs w:val="20"/>
              </w:rPr>
              <w:t xml:space="preserve">to maintain compliance with law and best practice </w:t>
            </w:r>
            <w:r w:rsidRPr="00EB3E23">
              <w:rPr>
                <w:rFonts w:ascii="Calibri Light" w:hAnsi="Calibri Light" w:cstheme="minorHAnsi"/>
                <w:sz w:val="20"/>
                <w:szCs w:val="20"/>
              </w:rPr>
              <w:t>and will be visually changed to keep it fresh and engaging.</w:t>
            </w:r>
          </w:p>
          <w:p w14:paraId="697B8A8D" w14:textId="77777777" w:rsidR="005B6BD3" w:rsidRPr="00EB3E23" w:rsidRDefault="005B6BD3" w:rsidP="005B6BD3">
            <w:pPr>
              <w:spacing w:before="0" w:after="0"/>
              <w:rPr>
                <w:rFonts w:ascii="Calibri Light" w:hAnsi="Calibri Light" w:cstheme="minorHAnsi"/>
                <w:sz w:val="20"/>
                <w:szCs w:val="20"/>
              </w:rPr>
            </w:pPr>
          </w:p>
          <w:p w14:paraId="437F253B" w14:textId="77777777" w:rsidR="005B6BD3" w:rsidRPr="00EB3E23" w:rsidRDefault="005B6BD3" w:rsidP="005B6BD3">
            <w:pPr>
              <w:spacing w:before="0" w:after="0"/>
              <w:rPr>
                <w:rFonts w:ascii="Calibri Light" w:hAnsi="Calibri Light" w:cstheme="minorHAnsi"/>
                <w:sz w:val="20"/>
                <w:szCs w:val="20"/>
              </w:rPr>
            </w:pPr>
          </w:p>
        </w:tc>
      </w:tr>
      <w:tr w:rsidR="005B6BD3" w14:paraId="2CD8A5EB" w14:textId="77777777" w:rsidTr="00F137C3">
        <w:trPr>
          <w:trHeight w:val="276"/>
        </w:trPr>
        <w:tc>
          <w:tcPr>
            <w:tcW w:w="2790" w:type="dxa"/>
          </w:tcPr>
          <w:p w14:paraId="20024485" w14:textId="77777777" w:rsidR="005B6BD3" w:rsidRDefault="005B6BD3" w:rsidP="005B6BD3">
            <w:pPr>
              <w:spacing w:before="0" w:after="0"/>
              <w:jc w:val="center"/>
            </w:pPr>
            <w:r w:rsidRPr="0013252A">
              <w:t>4</w:t>
            </w:r>
          </w:p>
          <w:p w14:paraId="120B732B" w14:textId="77777777" w:rsidR="005B6BD3" w:rsidRPr="00350434" w:rsidRDefault="005B6BD3" w:rsidP="005B6BD3">
            <w:pPr>
              <w:spacing w:before="0" w:after="0"/>
              <w:jc w:val="center"/>
            </w:pPr>
            <w:r w:rsidRPr="00350434">
              <w:rPr>
                <w:rFonts w:asciiTheme="majorHAnsi" w:hAnsiTheme="majorHAnsi" w:cstheme="majorHAnsi"/>
                <w:bCs/>
                <w:sz w:val="16"/>
              </w:rPr>
              <w:t>Within a year, universities should commission an independent, expert led review of existing university policies and response pathways in relation to sexual assault and sexual harassment, to assess effectiveness and make specific recommendations to universities about best practice responses.</w:t>
            </w:r>
          </w:p>
        </w:tc>
        <w:tc>
          <w:tcPr>
            <w:tcW w:w="5884" w:type="dxa"/>
          </w:tcPr>
          <w:p w14:paraId="5C4DEBB9" w14:textId="732F338B" w:rsidR="005B6BD3" w:rsidRPr="00EB3E23" w:rsidRDefault="005B6BD3" w:rsidP="005B6BD3">
            <w:pPr>
              <w:spacing w:before="0" w:after="0"/>
              <w:rPr>
                <w:rFonts w:ascii="Calibri Light" w:hAnsi="Calibri Light" w:cstheme="minorHAnsi"/>
                <w:sz w:val="20"/>
                <w:szCs w:val="20"/>
              </w:rPr>
            </w:pPr>
            <w:r w:rsidRPr="00EB3E23">
              <w:rPr>
                <w:rFonts w:ascii="Calibri Light" w:hAnsi="Calibri Light" w:cstheme="minorHAnsi"/>
                <w:sz w:val="20"/>
                <w:szCs w:val="20"/>
              </w:rPr>
              <w:t xml:space="preserve">The new policy and procedures published in October 2017 were developed with insight from </w:t>
            </w:r>
            <w:r w:rsidR="00A82615" w:rsidRPr="00EB3E23">
              <w:rPr>
                <w:rFonts w:ascii="Calibri Light" w:hAnsi="Calibri Light" w:cstheme="minorHAnsi"/>
                <w:sz w:val="20"/>
                <w:szCs w:val="20"/>
              </w:rPr>
              <w:t xml:space="preserve">subject matter experts as well as </w:t>
            </w:r>
            <w:r w:rsidRPr="00EB3E23">
              <w:rPr>
                <w:rFonts w:ascii="Calibri Light" w:hAnsi="Calibri Light" w:cstheme="minorHAnsi"/>
                <w:sz w:val="20"/>
                <w:szCs w:val="20"/>
              </w:rPr>
              <w:t xml:space="preserve">an independent law firm and were aligned to the advice provided by Universities Australia. </w:t>
            </w:r>
          </w:p>
          <w:p w14:paraId="3458ED67" w14:textId="77777777" w:rsidR="005B6BD3" w:rsidRPr="00EB3E23" w:rsidRDefault="005B6BD3" w:rsidP="005B6BD3">
            <w:pPr>
              <w:spacing w:before="0" w:after="0"/>
              <w:rPr>
                <w:rFonts w:ascii="Calibri Light" w:hAnsi="Calibri Light" w:cstheme="minorHAnsi"/>
                <w:sz w:val="20"/>
                <w:szCs w:val="20"/>
              </w:rPr>
            </w:pPr>
          </w:p>
          <w:p w14:paraId="5298500C" w14:textId="77777777" w:rsidR="005B6BD3" w:rsidRPr="00EB3E23" w:rsidRDefault="005B6BD3" w:rsidP="005B6BD3">
            <w:pPr>
              <w:spacing w:before="0" w:after="0"/>
              <w:rPr>
                <w:rFonts w:ascii="Calibri Light" w:hAnsi="Calibri Light" w:cstheme="minorHAnsi"/>
                <w:sz w:val="20"/>
                <w:szCs w:val="20"/>
              </w:rPr>
            </w:pPr>
            <w:r w:rsidRPr="00EB3E23">
              <w:rPr>
                <w:rFonts w:ascii="Calibri Light" w:hAnsi="Calibri Light" w:cstheme="minorHAnsi"/>
                <w:sz w:val="20"/>
                <w:szCs w:val="20"/>
              </w:rPr>
              <w:t xml:space="preserve">An internal operational review of the new Sexual Assault policy and procedures commenced in June 2018. </w:t>
            </w:r>
          </w:p>
        </w:tc>
        <w:tc>
          <w:tcPr>
            <w:tcW w:w="5886" w:type="dxa"/>
          </w:tcPr>
          <w:p w14:paraId="3843CF13" w14:textId="77777777" w:rsidR="005B6BD3" w:rsidRPr="00EB3E23" w:rsidRDefault="005B6BD3" w:rsidP="005B6BD3">
            <w:pPr>
              <w:spacing w:before="0" w:after="0"/>
              <w:rPr>
                <w:rFonts w:ascii="Calibri Light" w:hAnsi="Calibri Light" w:cstheme="minorHAnsi"/>
                <w:sz w:val="20"/>
                <w:szCs w:val="20"/>
              </w:rPr>
            </w:pPr>
            <w:r w:rsidRPr="00EB3E23">
              <w:rPr>
                <w:rFonts w:ascii="Calibri Light" w:hAnsi="Calibri Light" w:cstheme="minorHAnsi"/>
                <w:sz w:val="20"/>
                <w:szCs w:val="20"/>
              </w:rPr>
              <w:t>The operational review will provide recommendations</w:t>
            </w:r>
            <w:r w:rsidR="00A82615" w:rsidRPr="00EB3E23">
              <w:rPr>
                <w:rFonts w:ascii="Calibri Light" w:hAnsi="Calibri Light" w:cstheme="minorHAnsi"/>
                <w:sz w:val="20"/>
                <w:szCs w:val="20"/>
              </w:rPr>
              <w:t xml:space="preserve"> for improvement to the policy custodians / senior executive team in</w:t>
            </w:r>
            <w:r w:rsidRPr="00EB3E23">
              <w:rPr>
                <w:rFonts w:ascii="Calibri Light" w:hAnsi="Calibri Light" w:cstheme="minorHAnsi"/>
                <w:sz w:val="20"/>
                <w:szCs w:val="20"/>
              </w:rPr>
              <w:t xml:space="preserve"> August</w:t>
            </w:r>
            <w:r w:rsidR="00A82615" w:rsidRPr="00EB3E23">
              <w:rPr>
                <w:rFonts w:ascii="Calibri Light" w:hAnsi="Calibri Light" w:cstheme="minorHAnsi"/>
                <w:sz w:val="20"/>
                <w:szCs w:val="20"/>
              </w:rPr>
              <w:t xml:space="preserve">/September 2018. </w:t>
            </w:r>
          </w:p>
          <w:p w14:paraId="1C6BE944" w14:textId="77777777" w:rsidR="005B6BD3" w:rsidRPr="00EB3E23" w:rsidRDefault="005B6BD3" w:rsidP="005B6BD3">
            <w:pPr>
              <w:spacing w:before="0" w:after="0"/>
              <w:rPr>
                <w:rFonts w:ascii="Calibri Light" w:hAnsi="Calibri Light" w:cstheme="minorHAnsi"/>
                <w:sz w:val="20"/>
                <w:szCs w:val="20"/>
              </w:rPr>
            </w:pPr>
          </w:p>
          <w:p w14:paraId="72E0959D" w14:textId="74D93E06" w:rsidR="005B6BD3" w:rsidRPr="00EB3E23" w:rsidRDefault="00EB3E23" w:rsidP="00240356">
            <w:pPr>
              <w:spacing w:before="0" w:after="0"/>
              <w:rPr>
                <w:rFonts w:ascii="Calibri Light" w:hAnsi="Calibri Light" w:cstheme="minorHAnsi"/>
                <w:sz w:val="20"/>
                <w:szCs w:val="20"/>
              </w:rPr>
            </w:pPr>
            <w:r w:rsidRPr="00EB3E23">
              <w:rPr>
                <w:rFonts w:ascii="Calibri Light" w:hAnsi="Calibri Light" w:cstheme="minorHAnsi"/>
                <w:sz w:val="20"/>
                <w:szCs w:val="20"/>
              </w:rPr>
              <w:t xml:space="preserve">UQ will benchmark its </w:t>
            </w:r>
            <w:r w:rsidR="005B6BD3" w:rsidRPr="00EB3E23">
              <w:rPr>
                <w:rFonts w:ascii="Calibri Light" w:hAnsi="Calibri Light" w:cstheme="minorHAnsi"/>
                <w:sz w:val="20"/>
                <w:szCs w:val="20"/>
              </w:rPr>
              <w:t xml:space="preserve">policy against </w:t>
            </w:r>
            <w:r w:rsidR="00240356">
              <w:rPr>
                <w:rFonts w:ascii="Calibri Light" w:hAnsi="Calibri Light" w:cstheme="minorHAnsi"/>
                <w:sz w:val="20"/>
                <w:szCs w:val="20"/>
              </w:rPr>
              <w:t>policy and procedures</w:t>
            </w:r>
            <w:r w:rsidR="00240356" w:rsidRPr="00EB3E23">
              <w:rPr>
                <w:rFonts w:ascii="Calibri Light" w:hAnsi="Calibri Light" w:cstheme="minorHAnsi"/>
                <w:sz w:val="20"/>
                <w:szCs w:val="20"/>
              </w:rPr>
              <w:t xml:space="preserve"> </w:t>
            </w:r>
            <w:r w:rsidR="005B6BD3" w:rsidRPr="00EB3E23">
              <w:rPr>
                <w:rFonts w:ascii="Calibri Light" w:hAnsi="Calibri Light" w:cstheme="minorHAnsi"/>
                <w:sz w:val="20"/>
                <w:szCs w:val="20"/>
              </w:rPr>
              <w:t>models or advice pro</w:t>
            </w:r>
            <w:r w:rsidR="00A82615" w:rsidRPr="00EB3E23">
              <w:rPr>
                <w:rFonts w:ascii="Calibri Light" w:hAnsi="Calibri Light" w:cstheme="minorHAnsi"/>
                <w:sz w:val="20"/>
                <w:szCs w:val="20"/>
              </w:rPr>
              <w:t xml:space="preserve">vided by Universities Australia when these become available. </w:t>
            </w:r>
          </w:p>
        </w:tc>
      </w:tr>
      <w:tr w:rsidR="005B6BD3" w14:paraId="7231C5F6" w14:textId="77777777" w:rsidTr="00F137C3">
        <w:trPr>
          <w:trHeight w:val="276"/>
        </w:trPr>
        <w:tc>
          <w:tcPr>
            <w:tcW w:w="2790" w:type="dxa"/>
          </w:tcPr>
          <w:p w14:paraId="0E61E1D8" w14:textId="77777777" w:rsidR="005B6BD3" w:rsidRDefault="005B6BD3" w:rsidP="005B6BD3">
            <w:pPr>
              <w:spacing w:before="0" w:after="0"/>
              <w:jc w:val="center"/>
            </w:pPr>
            <w:r w:rsidRPr="0013252A">
              <w:t>5</w:t>
            </w:r>
          </w:p>
          <w:p w14:paraId="5C21DB28" w14:textId="77777777" w:rsidR="005B6BD3" w:rsidRPr="00350434" w:rsidRDefault="005B6BD3" w:rsidP="005B6BD3">
            <w:pPr>
              <w:spacing w:before="0" w:after="0"/>
              <w:jc w:val="center"/>
            </w:pPr>
            <w:r w:rsidRPr="00350434">
              <w:rPr>
                <w:rFonts w:asciiTheme="majorHAnsi" w:hAnsiTheme="majorHAnsi" w:cstheme="majorHAnsi"/>
                <w:bCs/>
                <w:sz w:val="16"/>
              </w:rPr>
              <w:t>Universities should conduct an assessment to identify staff members and student representatives within their institution most likely to receive disclosures of sexual assault and sexual harassment and ensure those identified receive appropriate training.</w:t>
            </w:r>
          </w:p>
        </w:tc>
        <w:tc>
          <w:tcPr>
            <w:tcW w:w="5884" w:type="dxa"/>
          </w:tcPr>
          <w:p w14:paraId="19E17682" w14:textId="07D1885E" w:rsidR="005B6BD3" w:rsidRPr="00737326" w:rsidRDefault="00890BFD" w:rsidP="005B6BD3">
            <w:pPr>
              <w:spacing w:before="0" w:after="0"/>
              <w:rPr>
                <w:rFonts w:ascii="Calibri Light" w:hAnsi="Calibri Light" w:cstheme="minorHAnsi"/>
                <w:sz w:val="20"/>
                <w:szCs w:val="20"/>
              </w:rPr>
            </w:pPr>
            <w:r>
              <w:rPr>
                <w:rFonts w:ascii="Calibri Light" w:hAnsi="Calibri Light" w:cstheme="minorHAnsi"/>
                <w:sz w:val="20"/>
                <w:szCs w:val="20"/>
              </w:rPr>
              <w:t>Starting in early 2017, t</w:t>
            </w:r>
            <w:r w:rsidR="005B6BD3" w:rsidRPr="00737326">
              <w:rPr>
                <w:rFonts w:ascii="Calibri Light" w:hAnsi="Calibri Light" w:cstheme="minorHAnsi"/>
                <w:sz w:val="20"/>
                <w:szCs w:val="20"/>
              </w:rPr>
              <w:t xml:space="preserve">he Sexual Assault Working Group and </w:t>
            </w:r>
            <w:r>
              <w:rPr>
                <w:rFonts w:ascii="Calibri Light" w:hAnsi="Calibri Light" w:cstheme="minorHAnsi"/>
                <w:sz w:val="20"/>
                <w:szCs w:val="20"/>
              </w:rPr>
              <w:t xml:space="preserve">then the </w:t>
            </w:r>
            <w:r w:rsidR="005B6BD3" w:rsidRPr="00737326">
              <w:rPr>
                <w:rFonts w:ascii="Calibri Light" w:hAnsi="Calibri Light" w:cstheme="minorHAnsi"/>
                <w:sz w:val="20"/>
                <w:szCs w:val="20"/>
              </w:rPr>
              <w:t>SMS Unit identified staff and students who were likely to receive disclosures. These individuals received training prior to the release of the report.</w:t>
            </w:r>
            <w:r w:rsidR="00125FB0" w:rsidRPr="00737326">
              <w:rPr>
                <w:rFonts w:ascii="Calibri Light" w:hAnsi="Calibri Light" w:cstheme="minorHAnsi"/>
                <w:sz w:val="20"/>
                <w:szCs w:val="20"/>
              </w:rPr>
              <w:t xml:space="preserve"> The focus of training for students was through partnerships with the Student Union and other established student networks, including through the Residential Colleges Student Leader network.  </w:t>
            </w:r>
          </w:p>
          <w:p w14:paraId="798C1F0E" w14:textId="77777777" w:rsidR="005B6BD3" w:rsidRPr="00737326" w:rsidRDefault="005B6BD3" w:rsidP="005B6BD3">
            <w:pPr>
              <w:spacing w:before="0" w:after="0"/>
              <w:rPr>
                <w:rFonts w:ascii="Calibri Light" w:hAnsi="Calibri Light" w:cstheme="minorHAnsi"/>
                <w:sz w:val="20"/>
                <w:szCs w:val="20"/>
              </w:rPr>
            </w:pPr>
          </w:p>
          <w:p w14:paraId="0F906762" w14:textId="0C692364" w:rsidR="005B6BD3" w:rsidRPr="00737326" w:rsidRDefault="005B6BD3" w:rsidP="005B6BD3">
            <w:pPr>
              <w:spacing w:before="0" w:after="0"/>
              <w:rPr>
                <w:rFonts w:ascii="Calibri Light" w:hAnsi="Calibri Light" w:cstheme="minorHAnsi"/>
                <w:sz w:val="20"/>
                <w:szCs w:val="20"/>
              </w:rPr>
            </w:pPr>
            <w:r w:rsidRPr="00737326">
              <w:rPr>
                <w:rFonts w:ascii="Calibri Light" w:hAnsi="Calibri Light" w:cstheme="minorHAnsi"/>
                <w:sz w:val="20"/>
                <w:szCs w:val="20"/>
              </w:rPr>
              <w:t>The First Responder Network was established prior to the release of the report to quickly identify individuals across the UQ Community who ha</w:t>
            </w:r>
            <w:r w:rsidR="00240356">
              <w:rPr>
                <w:rFonts w:ascii="Calibri Light" w:hAnsi="Calibri Light" w:cstheme="minorHAnsi"/>
                <w:sz w:val="20"/>
                <w:szCs w:val="20"/>
              </w:rPr>
              <w:t>d</w:t>
            </w:r>
            <w:r w:rsidRPr="00737326">
              <w:rPr>
                <w:rFonts w:ascii="Calibri Light" w:hAnsi="Calibri Light" w:cstheme="minorHAnsi"/>
                <w:sz w:val="20"/>
                <w:szCs w:val="20"/>
              </w:rPr>
              <w:t xml:space="preserve"> received appropriate training.</w:t>
            </w:r>
          </w:p>
          <w:p w14:paraId="31DAC17E" w14:textId="77777777" w:rsidR="005B6BD3" w:rsidRPr="00737326" w:rsidRDefault="005B6BD3" w:rsidP="005B6BD3">
            <w:pPr>
              <w:spacing w:before="0" w:after="0"/>
              <w:rPr>
                <w:rFonts w:ascii="Calibri Light" w:hAnsi="Calibri Light" w:cstheme="minorHAnsi"/>
                <w:sz w:val="20"/>
                <w:szCs w:val="20"/>
              </w:rPr>
            </w:pPr>
          </w:p>
          <w:p w14:paraId="303DBCAA" w14:textId="3FC3B443" w:rsidR="005B6BD3" w:rsidRPr="00737326" w:rsidRDefault="005B6BD3" w:rsidP="005B6BD3">
            <w:pPr>
              <w:spacing w:before="0" w:after="0"/>
              <w:rPr>
                <w:rFonts w:ascii="Calibri Light" w:hAnsi="Calibri Light" w:cstheme="minorHAnsi"/>
                <w:sz w:val="20"/>
                <w:szCs w:val="20"/>
              </w:rPr>
            </w:pPr>
            <w:r w:rsidRPr="00737326">
              <w:rPr>
                <w:rFonts w:ascii="Calibri Light" w:hAnsi="Calibri Light" w:cstheme="minorHAnsi"/>
                <w:sz w:val="20"/>
                <w:szCs w:val="20"/>
              </w:rPr>
              <w:t>Staff in student-facing roles all received a booklet from the SMS Unit with guidance on how to best respond to a disclosure. The UQ Respect Website has also been widely communicated to all staff and students</w:t>
            </w:r>
            <w:r w:rsidR="00737326">
              <w:rPr>
                <w:rFonts w:ascii="Calibri Light" w:hAnsi="Calibri Light" w:cstheme="minorHAnsi"/>
                <w:sz w:val="20"/>
                <w:szCs w:val="20"/>
              </w:rPr>
              <w:t>.</w:t>
            </w:r>
          </w:p>
        </w:tc>
        <w:tc>
          <w:tcPr>
            <w:tcW w:w="5886" w:type="dxa"/>
          </w:tcPr>
          <w:p w14:paraId="4B7BA0F2" w14:textId="77777777" w:rsidR="005B6BD3" w:rsidRPr="00737326" w:rsidRDefault="00A82615" w:rsidP="005B6BD3">
            <w:pPr>
              <w:spacing w:before="0" w:after="0"/>
              <w:rPr>
                <w:rFonts w:ascii="Calibri Light" w:hAnsi="Calibri Light" w:cstheme="minorHAnsi"/>
                <w:sz w:val="20"/>
                <w:szCs w:val="20"/>
              </w:rPr>
            </w:pPr>
            <w:r w:rsidRPr="00737326">
              <w:rPr>
                <w:rFonts w:ascii="Calibri Light" w:hAnsi="Calibri Light" w:cstheme="minorHAnsi"/>
                <w:sz w:val="20"/>
                <w:szCs w:val="20"/>
              </w:rPr>
              <w:lastRenderedPageBreak/>
              <w:t xml:space="preserve">First Responder </w:t>
            </w:r>
            <w:r w:rsidR="005B6BD3" w:rsidRPr="00737326">
              <w:rPr>
                <w:rFonts w:ascii="Calibri Light" w:hAnsi="Calibri Light" w:cstheme="minorHAnsi"/>
                <w:sz w:val="20"/>
                <w:szCs w:val="20"/>
              </w:rPr>
              <w:t xml:space="preserve">training is ongoing and </w:t>
            </w:r>
            <w:r w:rsidRPr="00737326">
              <w:rPr>
                <w:rFonts w:ascii="Calibri Light" w:hAnsi="Calibri Light" w:cstheme="minorHAnsi"/>
                <w:sz w:val="20"/>
                <w:szCs w:val="20"/>
              </w:rPr>
              <w:t>has been improved in 2018 with further review and improvements scheduled for later in 2018.</w:t>
            </w:r>
            <w:r w:rsidR="005B6BD3" w:rsidRPr="00737326">
              <w:rPr>
                <w:rFonts w:ascii="Calibri Light" w:hAnsi="Calibri Light" w:cstheme="minorHAnsi"/>
                <w:sz w:val="20"/>
                <w:szCs w:val="20"/>
              </w:rPr>
              <w:t xml:space="preserve"> </w:t>
            </w:r>
          </w:p>
          <w:p w14:paraId="60DA3FED" w14:textId="77777777" w:rsidR="005B6BD3" w:rsidRPr="00737326" w:rsidRDefault="005B6BD3" w:rsidP="005B6BD3">
            <w:pPr>
              <w:spacing w:before="0" w:after="0"/>
              <w:rPr>
                <w:rFonts w:ascii="Calibri Light" w:hAnsi="Calibri Light" w:cstheme="minorHAnsi"/>
                <w:sz w:val="20"/>
                <w:szCs w:val="20"/>
              </w:rPr>
            </w:pPr>
          </w:p>
          <w:p w14:paraId="2FD34309" w14:textId="387F715F" w:rsidR="005B6BD3" w:rsidRPr="00737326" w:rsidRDefault="005B6BD3" w:rsidP="005B6BD3">
            <w:pPr>
              <w:spacing w:before="0" w:after="0"/>
              <w:rPr>
                <w:rFonts w:ascii="Calibri Light" w:hAnsi="Calibri Light" w:cstheme="minorHAnsi"/>
                <w:sz w:val="20"/>
                <w:szCs w:val="20"/>
              </w:rPr>
            </w:pPr>
            <w:r w:rsidRPr="00737326">
              <w:rPr>
                <w:rFonts w:ascii="Calibri Light" w:hAnsi="Calibri Light" w:cstheme="minorHAnsi"/>
                <w:sz w:val="20"/>
                <w:szCs w:val="20"/>
              </w:rPr>
              <w:t>The First Responder Network will continue to exp</w:t>
            </w:r>
            <w:r w:rsidR="00A82615" w:rsidRPr="00737326">
              <w:rPr>
                <w:rFonts w:ascii="Calibri Light" w:hAnsi="Calibri Light" w:cstheme="minorHAnsi"/>
                <w:sz w:val="20"/>
                <w:szCs w:val="20"/>
              </w:rPr>
              <w:t>and throughout the coming years</w:t>
            </w:r>
            <w:r w:rsidR="00EC3094">
              <w:rPr>
                <w:rFonts w:ascii="Calibri Light" w:hAnsi="Calibri Light" w:cstheme="minorHAnsi"/>
                <w:sz w:val="20"/>
                <w:szCs w:val="20"/>
              </w:rPr>
              <w:t>.</w:t>
            </w:r>
          </w:p>
          <w:p w14:paraId="56BF853D" w14:textId="77777777" w:rsidR="005B6BD3" w:rsidRPr="00737326" w:rsidRDefault="005B6BD3" w:rsidP="005B6BD3">
            <w:pPr>
              <w:spacing w:before="0" w:after="0"/>
              <w:rPr>
                <w:rFonts w:ascii="Calibri Light" w:hAnsi="Calibri Light" w:cstheme="minorHAnsi"/>
                <w:sz w:val="20"/>
                <w:szCs w:val="20"/>
              </w:rPr>
            </w:pPr>
          </w:p>
          <w:p w14:paraId="0C674E41" w14:textId="77777777" w:rsidR="005B6BD3" w:rsidRPr="00737326" w:rsidRDefault="005B6BD3" w:rsidP="005B6BD3">
            <w:pPr>
              <w:spacing w:before="0" w:after="0"/>
              <w:rPr>
                <w:rFonts w:ascii="Calibri Light" w:hAnsi="Calibri Light" w:cstheme="minorHAnsi"/>
                <w:sz w:val="20"/>
                <w:szCs w:val="20"/>
              </w:rPr>
            </w:pPr>
            <w:r w:rsidRPr="00737326">
              <w:rPr>
                <w:rFonts w:ascii="Calibri Light" w:hAnsi="Calibri Light" w:cstheme="minorHAnsi"/>
                <w:sz w:val="20"/>
                <w:szCs w:val="20"/>
              </w:rPr>
              <w:t>Training to student representatives will continue to be enhanced throughout the coming years.</w:t>
            </w:r>
          </w:p>
        </w:tc>
      </w:tr>
      <w:tr w:rsidR="005B6BD3" w14:paraId="631BB9EA" w14:textId="77777777" w:rsidTr="00F137C3">
        <w:trPr>
          <w:trHeight w:val="276"/>
        </w:trPr>
        <w:tc>
          <w:tcPr>
            <w:tcW w:w="2790" w:type="dxa"/>
          </w:tcPr>
          <w:p w14:paraId="7A8470F7" w14:textId="77777777" w:rsidR="005B6BD3" w:rsidRDefault="005B6BD3" w:rsidP="005B6BD3">
            <w:pPr>
              <w:spacing w:before="0" w:after="0"/>
              <w:jc w:val="center"/>
            </w:pPr>
            <w:r w:rsidRPr="0013252A">
              <w:t>6</w:t>
            </w:r>
          </w:p>
          <w:p w14:paraId="45EEA4A6" w14:textId="77777777" w:rsidR="005B6BD3" w:rsidRPr="00350434" w:rsidRDefault="005B6BD3" w:rsidP="005B6BD3">
            <w:pPr>
              <w:spacing w:before="0" w:after="0"/>
              <w:jc w:val="center"/>
            </w:pPr>
            <w:r w:rsidRPr="00350434">
              <w:rPr>
                <w:rFonts w:asciiTheme="majorHAnsi" w:hAnsiTheme="majorHAnsi" w:cstheme="majorHAnsi"/>
                <w:bCs/>
                <w:sz w:val="16"/>
              </w:rPr>
              <w:t>Universities should ensure that information about individual disclosures and reports of sexual assault and sexual harassment is collected and stored confidentially and used for continuous improvement of processes.</w:t>
            </w:r>
          </w:p>
        </w:tc>
        <w:tc>
          <w:tcPr>
            <w:tcW w:w="5884" w:type="dxa"/>
          </w:tcPr>
          <w:p w14:paraId="6F2F43F3" w14:textId="77777777" w:rsidR="005B6BD3" w:rsidRPr="00737326" w:rsidRDefault="005B6BD3" w:rsidP="005B6BD3">
            <w:pPr>
              <w:spacing w:before="0" w:after="0"/>
              <w:rPr>
                <w:rFonts w:ascii="Calibri Light" w:hAnsi="Calibri Light" w:cstheme="minorHAnsi"/>
                <w:sz w:val="20"/>
                <w:szCs w:val="20"/>
              </w:rPr>
            </w:pPr>
            <w:r w:rsidRPr="00737326">
              <w:rPr>
                <w:rFonts w:ascii="Calibri Light" w:hAnsi="Calibri Light" w:cstheme="minorHAnsi"/>
                <w:sz w:val="20"/>
                <w:szCs w:val="20"/>
              </w:rPr>
              <w:t>Confidential case management and reporting systems have been established to collect and store information.</w:t>
            </w:r>
          </w:p>
          <w:p w14:paraId="034EC4B5" w14:textId="77777777" w:rsidR="005B6BD3" w:rsidRPr="00737326" w:rsidRDefault="005B6BD3" w:rsidP="005B6BD3">
            <w:pPr>
              <w:spacing w:before="0" w:after="0"/>
              <w:rPr>
                <w:rFonts w:ascii="Calibri Light" w:hAnsi="Calibri Light" w:cstheme="minorHAnsi"/>
                <w:sz w:val="20"/>
                <w:szCs w:val="20"/>
              </w:rPr>
            </w:pPr>
          </w:p>
          <w:p w14:paraId="7FDCF7F1" w14:textId="24D939CF" w:rsidR="005B6BD3" w:rsidRPr="00737326" w:rsidRDefault="00737326" w:rsidP="005B6BD3">
            <w:pPr>
              <w:spacing w:before="0" w:after="0"/>
              <w:rPr>
                <w:rFonts w:ascii="Calibri Light" w:hAnsi="Calibri Light" w:cstheme="minorHAnsi"/>
                <w:sz w:val="20"/>
                <w:szCs w:val="20"/>
              </w:rPr>
            </w:pPr>
            <w:r w:rsidRPr="00737326">
              <w:rPr>
                <w:rFonts w:ascii="Calibri Light" w:hAnsi="Calibri Light" w:cstheme="minorHAnsi"/>
                <w:sz w:val="20"/>
                <w:szCs w:val="20"/>
              </w:rPr>
              <w:t xml:space="preserve">The data are </w:t>
            </w:r>
            <w:r w:rsidR="005B6BD3" w:rsidRPr="00737326">
              <w:rPr>
                <w:rFonts w:ascii="Calibri Light" w:hAnsi="Calibri Light" w:cstheme="minorHAnsi"/>
                <w:sz w:val="20"/>
                <w:szCs w:val="20"/>
              </w:rPr>
              <w:t>reviewed on a regular basis throughout the year to inform the development of educational campaigns, training, and prevention methods relating to sexual violence.</w:t>
            </w:r>
          </w:p>
        </w:tc>
        <w:tc>
          <w:tcPr>
            <w:tcW w:w="5886" w:type="dxa"/>
          </w:tcPr>
          <w:p w14:paraId="5B20CE7D" w14:textId="77777777" w:rsidR="005B6BD3" w:rsidRPr="00737326" w:rsidRDefault="005B6BD3" w:rsidP="005B6BD3">
            <w:pPr>
              <w:spacing w:before="0" w:after="0"/>
              <w:rPr>
                <w:rFonts w:ascii="Calibri Light" w:hAnsi="Calibri Light" w:cstheme="minorHAnsi"/>
                <w:sz w:val="20"/>
                <w:szCs w:val="20"/>
              </w:rPr>
            </w:pPr>
            <w:r w:rsidRPr="00737326">
              <w:rPr>
                <w:rFonts w:ascii="Calibri Light" w:hAnsi="Calibri Light" w:cstheme="minorHAnsi"/>
                <w:sz w:val="20"/>
                <w:szCs w:val="20"/>
              </w:rPr>
              <w:t xml:space="preserve">These systems will also be reviewed and improved in the latter half of 2018 as part of a continuous improvement process. </w:t>
            </w:r>
          </w:p>
          <w:p w14:paraId="149E7E95" w14:textId="77777777" w:rsidR="005B6BD3" w:rsidRPr="00737326" w:rsidRDefault="005B6BD3" w:rsidP="005B6BD3">
            <w:pPr>
              <w:spacing w:before="0" w:after="0"/>
              <w:rPr>
                <w:rFonts w:ascii="Calibri Light" w:hAnsi="Calibri Light" w:cstheme="minorHAnsi"/>
                <w:sz w:val="20"/>
                <w:szCs w:val="20"/>
              </w:rPr>
            </w:pPr>
          </w:p>
          <w:p w14:paraId="1F6AE68F" w14:textId="503FA660" w:rsidR="005B6BD3" w:rsidRPr="00737326" w:rsidRDefault="00737326" w:rsidP="005B6BD3">
            <w:pPr>
              <w:spacing w:before="0" w:after="0"/>
              <w:rPr>
                <w:rFonts w:ascii="Calibri Light" w:hAnsi="Calibri Light" w:cstheme="minorHAnsi"/>
                <w:sz w:val="20"/>
                <w:szCs w:val="20"/>
              </w:rPr>
            </w:pPr>
            <w:r w:rsidRPr="00737326">
              <w:rPr>
                <w:rFonts w:ascii="Calibri Light" w:hAnsi="Calibri Light" w:cstheme="minorHAnsi"/>
                <w:sz w:val="20"/>
                <w:szCs w:val="20"/>
              </w:rPr>
              <w:t xml:space="preserve">The </w:t>
            </w:r>
            <w:r w:rsidR="005B6BD3" w:rsidRPr="00737326">
              <w:rPr>
                <w:rFonts w:ascii="Calibri Light" w:hAnsi="Calibri Light" w:cstheme="minorHAnsi"/>
                <w:sz w:val="20"/>
                <w:szCs w:val="20"/>
              </w:rPr>
              <w:t>data will be specifically reviewed in t</w:t>
            </w:r>
            <w:r w:rsidR="0019567B" w:rsidRPr="00737326">
              <w:rPr>
                <w:rFonts w:ascii="Calibri Light" w:hAnsi="Calibri Light" w:cstheme="minorHAnsi"/>
                <w:sz w:val="20"/>
                <w:szCs w:val="20"/>
              </w:rPr>
              <w:t>he latter half of 2018 and will be considered during the</w:t>
            </w:r>
            <w:r w:rsidR="005B6BD3" w:rsidRPr="00737326">
              <w:rPr>
                <w:rFonts w:ascii="Calibri Light" w:hAnsi="Calibri Light" w:cstheme="minorHAnsi"/>
                <w:sz w:val="20"/>
                <w:szCs w:val="20"/>
              </w:rPr>
              <w:t xml:space="preserve"> policy review process.</w:t>
            </w:r>
          </w:p>
        </w:tc>
      </w:tr>
      <w:tr w:rsidR="005B6BD3" w14:paraId="20CAF4A7" w14:textId="77777777" w:rsidTr="00F137C3">
        <w:trPr>
          <w:trHeight w:val="276"/>
        </w:trPr>
        <w:tc>
          <w:tcPr>
            <w:tcW w:w="2790" w:type="dxa"/>
          </w:tcPr>
          <w:p w14:paraId="39B8282A" w14:textId="77777777" w:rsidR="005B6BD3" w:rsidRPr="00F137C3" w:rsidRDefault="005B6BD3" w:rsidP="005B6BD3">
            <w:pPr>
              <w:spacing w:before="0" w:after="0"/>
              <w:jc w:val="center"/>
            </w:pPr>
            <w:r>
              <w:t>7</w:t>
            </w:r>
          </w:p>
          <w:p w14:paraId="68E9AB26" w14:textId="77777777" w:rsidR="005B6BD3" w:rsidRPr="00F137C3" w:rsidRDefault="005B6BD3" w:rsidP="005B6BD3">
            <w:pPr>
              <w:spacing w:before="0" w:after="0"/>
              <w:jc w:val="center"/>
              <w:rPr>
                <w:sz w:val="16"/>
              </w:rPr>
            </w:pPr>
            <w:r w:rsidRPr="00F137C3">
              <w:rPr>
                <w:rFonts w:asciiTheme="majorHAnsi" w:hAnsiTheme="majorHAnsi" w:cstheme="majorHAnsi"/>
                <w:bCs/>
                <w:sz w:val="16"/>
              </w:rPr>
              <w:t>Within six months of this report, universities should conduct an audit of university counselling services to assess adequacy of capacity and training and undertake data collection.</w:t>
            </w:r>
          </w:p>
        </w:tc>
        <w:tc>
          <w:tcPr>
            <w:tcW w:w="5884" w:type="dxa"/>
          </w:tcPr>
          <w:p w14:paraId="6757AD1D" w14:textId="009619EA" w:rsidR="005B6BD3" w:rsidRPr="00283F5C" w:rsidRDefault="005B6BD3" w:rsidP="005B6BD3">
            <w:pPr>
              <w:spacing w:before="0" w:after="0"/>
              <w:rPr>
                <w:rFonts w:ascii="Calibri Light" w:hAnsi="Calibri Light" w:cstheme="minorHAnsi"/>
                <w:sz w:val="20"/>
                <w:szCs w:val="20"/>
              </w:rPr>
            </w:pPr>
            <w:r w:rsidRPr="00283F5C">
              <w:rPr>
                <w:rFonts w:ascii="Calibri Light" w:hAnsi="Calibri Light" w:cstheme="minorHAnsi"/>
                <w:sz w:val="20"/>
                <w:szCs w:val="20"/>
              </w:rPr>
              <w:t>General counselling services for students were reviewed to ensure adequate capacity both prior to and following release of the report.</w:t>
            </w:r>
            <w:r w:rsidR="00826CA7" w:rsidRPr="00283F5C">
              <w:rPr>
                <w:rFonts w:ascii="Calibri Light" w:hAnsi="Calibri Light" w:cstheme="minorHAnsi"/>
                <w:sz w:val="20"/>
                <w:szCs w:val="20"/>
              </w:rPr>
              <w:t xml:space="preserve"> Specific resource was assigned to enable specialist training and specialist response and proactive educational campaigns. </w:t>
            </w:r>
          </w:p>
          <w:p w14:paraId="29992959" w14:textId="77777777" w:rsidR="005B6BD3" w:rsidRPr="00283F5C" w:rsidRDefault="005B6BD3" w:rsidP="005B6BD3">
            <w:pPr>
              <w:spacing w:before="0" w:after="0"/>
              <w:rPr>
                <w:rFonts w:ascii="Calibri Light" w:hAnsi="Calibri Light" w:cstheme="minorHAnsi"/>
                <w:sz w:val="20"/>
                <w:szCs w:val="20"/>
              </w:rPr>
            </w:pPr>
          </w:p>
          <w:p w14:paraId="73D3FFD0" w14:textId="0D61AC7B" w:rsidR="005B6BD3" w:rsidRPr="00283F5C" w:rsidRDefault="005B6BD3" w:rsidP="005B6BD3">
            <w:pPr>
              <w:spacing w:before="0" w:after="0"/>
              <w:rPr>
                <w:rFonts w:ascii="Calibri Light" w:hAnsi="Calibri Light" w:cstheme="minorHAnsi"/>
                <w:sz w:val="20"/>
                <w:szCs w:val="20"/>
              </w:rPr>
            </w:pPr>
            <w:r w:rsidRPr="00283F5C">
              <w:rPr>
                <w:rFonts w:ascii="Calibri Light" w:hAnsi="Calibri Light" w:cstheme="minorHAnsi"/>
                <w:sz w:val="20"/>
                <w:szCs w:val="20"/>
              </w:rPr>
              <w:t xml:space="preserve">Training of the counselling team was completed to ensure the team adopted a trauma-informed approach to supporting survivors. </w:t>
            </w:r>
          </w:p>
          <w:p w14:paraId="2709CF84" w14:textId="77777777" w:rsidR="005B6BD3" w:rsidRPr="00283F5C" w:rsidRDefault="005B6BD3" w:rsidP="005B6BD3">
            <w:pPr>
              <w:spacing w:before="0" w:after="0"/>
              <w:rPr>
                <w:rFonts w:ascii="Calibri Light" w:hAnsi="Calibri Light" w:cstheme="minorHAnsi"/>
                <w:sz w:val="20"/>
                <w:szCs w:val="20"/>
              </w:rPr>
            </w:pPr>
          </w:p>
          <w:p w14:paraId="3E6AC5A8" w14:textId="77777777" w:rsidR="005B6BD3" w:rsidRPr="00283F5C" w:rsidRDefault="005B6BD3" w:rsidP="005B6BD3">
            <w:pPr>
              <w:spacing w:before="0" w:after="0"/>
              <w:rPr>
                <w:rFonts w:ascii="Calibri Light" w:hAnsi="Calibri Light" w:cstheme="minorHAnsi"/>
                <w:sz w:val="20"/>
                <w:szCs w:val="20"/>
              </w:rPr>
            </w:pPr>
            <w:r w:rsidRPr="00283F5C">
              <w:rPr>
                <w:rFonts w:ascii="Calibri Light" w:hAnsi="Calibri Light" w:cstheme="minorHAnsi"/>
                <w:sz w:val="20"/>
                <w:szCs w:val="20"/>
              </w:rPr>
              <w:t xml:space="preserve">The specialist counsellors of the SMS Unit have daily availability for students and staff at UQ to access support. </w:t>
            </w:r>
            <w:r w:rsidRPr="00283F5C">
              <w:rPr>
                <w:rFonts w:ascii="Calibri Light" w:hAnsi="Calibri Light" w:cstheme="minorHAnsi"/>
                <w:sz w:val="20"/>
                <w:szCs w:val="20"/>
              </w:rPr>
              <w:br/>
            </w:r>
          </w:p>
          <w:p w14:paraId="212D9B8B" w14:textId="77777777" w:rsidR="005B6BD3" w:rsidRPr="00283F5C" w:rsidRDefault="005B6BD3" w:rsidP="005B6BD3">
            <w:pPr>
              <w:spacing w:before="0" w:after="0"/>
              <w:rPr>
                <w:rFonts w:ascii="Calibri Light" w:hAnsi="Calibri Light" w:cstheme="minorHAnsi"/>
                <w:sz w:val="20"/>
                <w:szCs w:val="20"/>
              </w:rPr>
            </w:pPr>
            <w:r w:rsidRPr="00283F5C">
              <w:rPr>
                <w:rFonts w:ascii="Calibri Light" w:hAnsi="Calibri Light" w:cstheme="minorHAnsi"/>
                <w:sz w:val="20"/>
                <w:szCs w:val="20"/>
              </w:rPr>
              <w:t>Counselling team and SMS Unit visits are reported to Senior Leadership on a regular basis to ensure appropriate capacity.</w:t>
            </w:r>
          </w:p>
          <w:p w14:paraId="6DB4F158" w14:textId="77777777" w:rsidR="005B6BD3" w:rsidRPr="00283F5C" w:rsidRDefault="005B6BD3" w:rsidP="005B6BD3">
            <w:pPr>
              <w:spacing w:before="0" w:after="0"/>
              <w:rPr>
                <w:rFonts w:ascii="Calibri Light" w:hAnsi="Calibri Light" w:cstheme="minorHAnsi"/>
                <w:sz w:val="20"/>
                <w:szCs w:val="20"/>
              </w:rPr>
            </w:pPr>
          </w:p>
        </w:tc>
        <w:tc>
          <w:tcPr>
            <w:tcW w:w="5886" w:type="dxa"/>
          </w:tcPr>
          <w:p w14:paraId="519BB29B" w14:textId="77777777" w:rsidR="005B6BD3" w:rsidRPr="00283F5C" w:rsidRDefault="005B6BD3" w:rsidP="005B6BD3">
            <w:pPr>
              <w:spacing w:before="0" w:after="0"/>
              <w:rPr>
                <w:rFonts w:ascii="Calibri Light" w:hAnsi="Calibri Light" w:cstheme="minorHAnsi"/>
                <w:sz w:val="20"/>
                <w:szCs w:val="20"/>
              </w:rPr>
            </w:pPr>
            <w:r w:rsidRPr="00283F5C">
              <w:rPr>
                <w:rFonts w:ascii="Calibri Light" w:hAnsi="Calibri Light" w:cstheme="minorHAnsi"/>
                <w:sz w:val="20"/>
                <w:szCs w:val="20"/>
              </w:rPr>
              <w:t>Counselling and SMS Unit data will continue to be reviewed and reported and ensure appropriate capacity and adequate training.</w:t>
            </w:r>
          </w:p>
          <w:p w14:paraId="5D1FC50A" w14:textId="77777777" w:rsidR="005B6BD3" w:rsidRPr="00283F5C" w:rsidRDefault="005B6BD3" w:rsidP="005B6BD3">
            <w:pPr>
              <w:spacing w:before="0" w:after="0"/>
              <w:rPr>
                <w:rFonts w:ascii="Calibri Light" w:hAnsi="Calibri Light" w:cstheme="minorHAnsi"/>
                <w:sz w:val="20"/>
                <w:szCs w:val="20"/>
              </w:rPr>
            </w:pPr>
          </w:p>
          <w:p w14:paraId="26D6FD95" w14:textId="4EFD3E60" w:rsidR="005B6BD3" w:rsidRPr="00283F5C" w:rsidRDefault="0019567B" w:rsidP="0019567B">
            <w:pPr>
              <w:spacing w:before="0" w:after="0"/>
              <w:rPr>
                <w:rFonts w:ascii="Calibri Light" w:hAnsi="Calibri Light" w:cstheme="minorHAnsi"/>
                <w:sz w:val="20"/>
                <w:szCs w:val="20"/>
              </w:rPr>
            </w:pPr>
            <w:r w:rsidRPr="00283F5C">
              <w:rPr>
                <w:rFonts w:ascii="Calibri Light" w:hAnsi="Calibri Light" w:cstheme="minorHAnsi"/>
                <w:sz w:val="20"/>
                <w:szCs w:val="20"/>
              </w:rPr>
              <w:t>UQ launched a 24/7 crisis support line for students from Monday 16</w:t>
            </w:r>
            <w:r w:rsidRPr="00283F5C">
              <w:rPr>
                <w:rFonts w:ascii="Calibri Light" w:hAnsi="Calibri Light" w:cstheme="minorHAnsi"/>
                <w:sz w:val="20"/>
                <w:szCs w:val="20"/>
                <w:vertAlign w:val="superscript"/>
              </w:rPr>
              <w:t>th</w:t>
            </w:r>
            <w:r w:rsidRPr="00283F5C">
              <w:rPr>
                <w:rFonts w:ascii="Calibri Light" w:hAnsi="Calibri Light" w:cstheme="minorHAnsi"/>
                <w:sz w:val="20"/>
                <w:szCs w:val="20"/>
              </w:rPr>
              <w:t xml:space="preserve"> July. This improvement will ensure that our student community will be able to access counselling or crisis sup</w:t>
            </w:r>
            <w:r w:rsidR="00283F5C" w:rsidRPr="00283F5C">
              <w:rPr>
                <w:rFonts w:ascii="Calibri Light" w:hAnsi="Calibri Light" w:cstheme="minorHAnsi"/>
                <w:sz w:val="20"/>
                <w:szCs w:val="20"/>
              </w:rPr>
              <w:t>port, irrespective of the time.</w:t>
            </w:r>
            <w:r w:rsidRPr="00283F5C">
              <w:rPr>
                <w:rFonts w:ascii="Calibri Light" w:hAnsi="Calibri Light" w:cstheme="minorHAnsi"/>
                <w:sz w:val="20"/>
                <w:szCs w:val="20"/>
              </w:rPr>
              <w:t xml:space="preserve"> </w:t>
            </w:r>
          </w:p>
        </w:tc>
      </w:tr>
      <w:tr w:rsidR="005B6BD3" w14:paraId="6BDAA572" w14:textId="77777777" w:rsidTr="00F137C3">
        <w:trPr>
          <w:trHeight w:val="276"/>
        </w:trPr>
        <w:tc>
          <w:tcPr>
            <w:tcW w:w="2790" w:type="dxa"/>
          </w:tcPr>
          <w:p w14:paraId="25187500" w14:textId="77777777" w:rsidR="005B6BD3" w:rsidRDefault="005B6BD3" w:rsidP="005B6BD3">
            <w:pPr>
              <w:spacing w:before="0" w:after="0"/>
              <w:jc w:val="center"/>
            </w:pPr>
            <w:r w:rsidRPr="0013252A">
              <w:t>8</w:t>
            </w:r>
          </w:p>
          <w:p w14:paraId="364D3BAB" w14:textId="77777777" w:rsidR="005B6BD3" w:rsidRPr="00F137C3" w:rsidRDefault="005B6BD3" w:rsidP="005B6BD3">
            <w:pPr>
              <w:spacing w:before="0" w:after="0"/>
              <w:jc w:val="center"/>
              <w:rPr>
                <w:i/>
              </w:rPr>
            </w:pPr>
            <w:r w:rsidRPr="00F137C3">
              <w:rPr>
                <w:rFonts w:asciiTheme="majorHAnsi" w:hAnsiTheme="majorHAnsi" w:cstheme="majorHAnsi"/>
                <w:bCs/>
                <w:i/>
                <w:sz w:val="16"/>
              </w:rPr>
              <w:t>Universities should engage an independent body to conduct the National university student survey of sexual assault and sexual harassment at three yearly intervals to track progress in reducing the prevalence of these incidents at a sector-wide level.</w:t>
            </w:r>
          </w:p>
        </w:tc>
        <w:tc>
          <w:tcPr>
            <w:tcW w:w="5884" w:type="dxa"/>
          </w:tcPr>
          <w:p w14:paraId="4BF6F194" w14:textId="77777777" w:rsidR="005B6BD3" w:rsidRPr="00283F5C" w:rsidRDefault="005B6BD3" w:rsidP="005B6BD3">
            <w:pPr>
              <w:spacing w:before="0" w:after="0"/>
              <w:rPr>
                <w:rFonts w:ascii="Calibri Light" w:hAnsi="Calibri Light" w:cstheme="minorHAnsi"/>
                <w:b/>
                <w:sz w:val="20"/>
                <w:szCs w:val="20"/>
              </w:rPr>
            </w:pPr>
            <w:r w:rsidRPr="00283F5C">
              <w:rPr>
                <w:rFonts w:ascii="Calibri Light" w:hAnsi="Calibri Light" w:cstheme="minorHAnsi"/>
                <w:sz w:val="20"/>
                <w:szCs w:val="20"/>
              </w:rPr>
              <w:t>Options and proposals were discussed at the VC Advisory Group.</w:t>
            </w:r>
          </w:p>
        </w:tc>
        <w:tc>
          <w:tcPr>
            <w:tcW w:w="5886" w:type="dxa"/>
          </w:tcPr>
          <w:p w14:paraId="5B9E882A" w14:textId="77777777" w:rsidR="005B6BD3" w:rsidRPr="00283F5C" w:rsidRDefault="005B6BD3" w:rsidP="005B6BD3">
            <w:pPr>
              <w:spacing w:before="0" w:after="0"/>
              <w:rPr>
                <w:rFonts w:ascii="Calibri Light" w:hAnsi="Calibri Light"/>
                <w:b/>
                <w:sz w:val="20"/>
                <w:szCs w:val="20"/>
              </w:rPr>
            </w:pPr>
            <w:r w:rsidRPr="00283F5C">
              <w:rPr>
                <w:rFonts w:ascii="Calibri Light" w:hAnsi="Calibri Light" w:cstheme="minorHAnsi"/>
                <w:sz w:val="20"/>
                <w:szCs w:val="20"/>
              </w:rPr>
              <w:t xml:space="preserve">Future options and proposals to be discussed with Universities Australia. </w:t>
            </w:r>
          </w:p>
        </w:tc>
      </w:tr>
    </w:tbl>
    <w:p w14:paraId="601AF829" w14:textId="77777777" w:rsidR="00E7149A" w:rsidRDefault="00E7149A">
      <w:r>
        <w:br w:type="page"/>
      </w:r>
      <w:bookmarkStart w:id="0" w:name="_GoBack"/>
      <w:bookmarkEnd w:id="0"/>
    </w:p>
    <w:tbl>
      <w:tblPr>
        <w:tblStyle w:val="TableGrid"/>
        <w:tblW w:w="0" w:type="auto"/>
        <w:tblLook w:val="04A0" w:firstRow="1" w:lastRow="0" w:firstColumn="1" w:lastColumn="0" w:noHBand="0" w:noVBand="1"/>
      </w:tblPr>
      <w:tblGrid>
        <w:gridCol w:w="2790"/>
        <w:gridCol w:w="5884"/>
        <w:gridCol w:w="5886"/>
      </w:tblGrid>
      <w:tr w:rsidR="005B6BD3" w14:paraId="27401599" w14:textId="77777777" w:rsidTr="00F137C3">
        <w:trPr>
          <w:trHeight w:val="276"/>
        </w:trPr>
        <w:tc>
          <w:tcPr>
            <w:tcW w:w="2790" w:type="dxa"/>
          </w:tcPr>
          <w:p w14:paraId="3E09FFB9" w14:textId="30C3BC49" w:rsidR="005B6BD3" w:rsidRDefault="005B6BD3" w:rsidP="005B6BD3">
            <w:pPr>
              <w:spacing w:before="0" w:after="0"/>
              <w:jc w:val="center"/>
            </w:pPr>
            <w:r w:rsidRPr="0013252A">
              <w:lastRenderedPageBreak/>
              <w:t>9</w:t>
            </w:r>
          </w:p>
          <w:p w14:paraId="20A4390C" w14:textId="77777777" w:rsidR="005B6BD3" w:rsidRPr="00F137C3" w:rsidRDefault="005B6BD3" w:rsidP="005B6BD3">
            <w:pPr>
              <w:spacing w:before="0" w:after="0"/>
              <w:jc w:val="center"/>
            </w:pPr>
            <w:r w:rsidRPr="00F137C3">
              <w:rPr>
                <w:rFonts w:asciiTheme="majorHAnsi" w:hAnsiTheme="majorHAnsi" w:cstheme="majorHAnsi"/>
                <w:bCs/>
                <w:sz w:val="16"/>
              </w:rPr>
              <w:t>Residential colleges and university residences should consider implementing report recommendations, and commission an independent, expert-led review of the factors which contribute to sexual assault and sexual harassment in their settings.</w:t>
            </w:r>
          </w:p>
        </w:tc>
        <w:tc>
          <w:tcPr>
            <w:tcW w:w="5884" w:type="dxa"/>
          </w:tcPr>
          <w:p w14:paraId="572D36DB" w14:textId="77777777" w:rsidR="005B6BD3" w:rsidRPr="00283F5C" w:rsidRDefault="005B6BD3" w:rsidP="005B6BD3">
            <w:pPr>
              <w:spacing w:before="0" w:after="0"/>
              <w:rPr>
                <w:rFonts w:ascii="Calibri Light" w:hAnsi="Calibri Light" w:cstheme="minorHAnsi"/>
                <w:sz w:val="20"/>
                <w:szCs w:val="20"/>
              </w:rPr>
            </w:pPr>
            <w:r w:rsidRPr="00283F5C">
              <w:rPr>
                <w:rFonts w:ascii="Calibri Light" w:hAnsi="Calibri Light" w:cstheme="minorHAnsi"/>
                <w:sz w:val="20"/>
                <w:szCs w:val="20"/>
              </w:rPr>
              <w:t>UQ senior leadership meet with the Heads of College regularly to address the underlying and contributing factors that may lead to sexual misconduct.</w:t>
            </w:r>
            <w:r w:rsidRPr="00283F5C">
              <w:rPr>
                <w:rFonts w:ascii="Calibri Light" w:hAnsi="Calibri Light" w:cstheme="minorHAnsi"/>
                <w:sz w:val="20"/>
                <w:szCs w:val="20"/>
              </w:rPr>
              <w:br/>
            </w:r>
          </w:p>
          <w:p w14:paraId="7C9E63EB" w14:textId="77777777" w:rsidR="005B6BD3" w:rsidRPr="00283F5C" w:rsidRDefault="005B6BD3" w:rsidP="005B6BD3">
            <w:pPr>
              <w:spacing w:before="0" w:after="0"/>
              <w:rPr>
                <w:rFonts w:ascii="Calibri Light" w:hAnsi="Calibri Light" w:cstheme="minorHAnsi"/>
                <w:sz w:val="20"/>
                <w:szCs w:val="20"/>
              </w:rPr>
            </w:pPr>
            <w:r w:rsidRPr="00283F5C">
              <w:rPr>
                <w:rFonts w:ascii="Calibri Light" w:hAnsi="Calibri Light" w:cstheme="minorHAnsi"/>
                <w:sz w:val="20"/>
                <w:szCs w:val="20"/>
              </w:rPr>
              <w:t>Expert led consent and ethical bystander training was delivered to all residential student executive leaders in August 2017.</w:t>
            </w:r>
          </w:p>
        </w:tc>
        <w:tc>
          <w:tcPr>
            <w:tcW w:w="5886" w:type="dxa"/>
          </w:tcPr>
          <w:p w14:paraId="636C31F1" w14:textId="154C3ABE" w:rsidR="005B6BD3" w:rsidRPr="00283F5C" w:rsidRDefault="005B6BD3" w:rsidP="005B6BD3">
            <w:pPr>
              <w:spacing w:before="0" w:after="0"/>
              <w:rPr>
                <w:rFonts w:ascii="Calibri Light" w:hAnsi="Calibri Light" w:cstheme="minorHAnsi"/>
                <w:sz w:val="20"/>
                <w:szCs w:val="20"/>
              </w:rPr>
            </w:pPr>
            <w:r w:rsidRPr="00283F5C">
              <w:rPr>
                <w:rFonts w:ascii="Calibri Light" w:hAnsi="Calibri Light" w:cstheme="minorHAnsi"/>
                <w:sz w:val="20"/>
                <w:szCs w:val="20"/>
              </w:rPr>
              <w:t>Most residential colleges are now delivering some form of training for residents in consent and bystander education on a regular basis.</w:t>
            </w:r>
          </w:p>
          <w:p w14:paraId="48C4E941" w14:textId="77777777" w:rsidR="0019567B" w:rsidRPr="00283F5C" w:rsidRDefault="0019567B" w:rsidP="005B6BD3">
            <w:pPr>
              <w:spacing w:before="0" w:after="0"/>
              <w:rPr>
                <w:rFonts w:ascii="Calibri Light" w:hAnsi="Calibri Light" w:cstheme="minorHAnsi"/>
                <w:sz w:val="20"/>
                <w:szCs w:val="20"/>
              </w:rPr>
            </w:pPr>
          </w:p>
          <w:p w14:paraId="4535425F" w14:textId="77777777" w:rsidR="0019567B" w:rsidRPr="00283F5C" w:rsidRDefault="0019567B" w:rsidP="0019567B">
            <w:pPr>
              <w:spacing w:before="0" w:after="0"/>
              <w:rPr>
                <w:rFonts w:ascii="Calibri Light" w:hAnsi="Calibri Light" w:cstheme="minorHAnsi"/>
                <w:sz w:val="20"/>
                <w:szCs w:val="20"/>
              </w:rPr>
            </w:pPr>
            <w:r w:rsidRPr="00283F5C">
              <w:rPr>
                <w:rFonts w:ascii="Calibri Light" w:hAnsi="Calibri Light" w:cstheme="minorHAnsi"/>
                <w:sz w:val="20"/>
                <w:szCs w:val="20"/>
              </w:rPr>
              <w:t>All residential colleges are engaging with the University proactively and there are ongoing meetings between residential colleges and UQ Leadership to resolve legal and privacy issues.</w:t>
            </w:r>
          </w:p>
        </w:tc>
      </w:tr>
    </w:tbl>
    <w:p w14:paraId="60895550" w14:textId="77777777" w:rsidR="0013252A" w:rsidRPr="0013252A" w:rsidRDefault="0013252A" w:rsidP="0013252A">
      <w:pPr>
        <w:spacing w:before="0" w:after="0"/>
        <w:jc w:val="center"/>
        <w:rPr>
          <w:b/>
        </w:rPr>
      </w:pPr>
    </w:p>
    <w:sectPr w:rsidR="0013252A" w:rsidRPr="0013252A" w:rsidSect="0013252A">
      <w:headerReference w:type="default" r:id="rId7"/>
      <w:footerReference w:type="default" r:id="rId8"/>
      <w:headerReference w:type="first" r:id="rId9"/>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CBF3E" w14:textId="77777777" w:rsidR="000331B7" w:rsidRDefault="000331B7" w:rsidP="00F14C6D">
      <w:r>
        <w:separator/>
      </w:r>
    </w:p>
  </w:endnote>
  <w:endnote w:type="continuationSeparator" w:id="0">
    <w:p w14:paraId="20C50A98" w14:textId="77777777" w:rsidR="000331B7" w:rsidRDefault="000331B7"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81E2" w14:textId="4EA6858C"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7149A">
      <w:rPr>
        <w:noProof/>
      </w:rPr>
      <w:t>4</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F9135" w14:textId="77777777" w:rsidR="000331B7" w:rsidRDefault="000331B7" w:rsidP="00F14C6D">
      <w:r>
        <w:separator/>
      </w:r>
    </w:p>
  </w:footnote>
  <w:footnote w:type="continuationSeparator" w:id="0">
    <w:p w14:paraId="12155C68" w14:textId="77777777" w:rsidR="000331B7" w:rsidRDefault="000331B7"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F28DD" w14:textId="77777777" w:rsidR="0013252A" w:rsidRDefault="0013252A">
    <w:pPr>
      <w:pStyle w:val="Header"/>
    </w:pPr>
    <w:r w:rsidRPr="000C2F75">
      <w:rPr>
        <w:rFonts w:cs="ArialMT"/>
        <w:b/>
        <w:noProof/>
        <w:color w:val="000000"/>
        <w:spacing w:val="-20"/>
        <w:sz w:val="32"/>
      </w:rPr>
      <w:drawing>
        <wp:inline distT="0" distB="0" distL="0" distR="0" wp14:anchorId="6D5FAC1D" wp14:editId="0A5AC3BB">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2737"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5713A5B0" wp14:editId="27C83917">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A55C61"/>
    <w:multiLevelType w:val="hybridMultilevel"/>
    <w:tmpl w:val="7A58220E"/>
    <w:lvl w:ilvl="0" w:tplc="DC62604A">
      <w:start w:val="1"/>
      <w:numFmt w:val="bullet"/>
      <w:lvlText w:val=""/>
      <w:lvlJc w:val="left"/>
      <w:pPr>
        <w:tabs>
          <w:tab w:val="num" w:pos="720"/>
        </w:tabs>
        <w:ind w:left="720" w:hanging="360"/>
      </w:pPr>
      <w:rPr>
        <w:rFonts w:ascii="Symbol" w:hAnsi="Symbol" w:hint="default"/>
      </w:rPr>
    </w:lvl>
    <w:lvl w:ilvl="1" w:tplc="6CE29F9C" w:tentative="1">
      <w:start w:val="1"/>
      <w:numFmt w:val="bullet"/>
      <w:lvlText w:val=""/>
      <w:lvlJc w:val="left"/>
      <w:pPr>
        <w:tabs>
          <w:tab w:val="num" w:pos="1440"/>
        </w:tabs>
        <w:ind w:left="1440" w:hanging="360"/>
      </w:pPr>
      <w:rPr>
        <w:rFonts w:ascii="Symbol" w:hAnsi="Symbol" w:hint="default"/>
      </w:rPr>
    </w:lvl>
    <w:lvl w:ilvl="2" w:tplc="C60086D0" w:tentative="1">
      <w:start w:val="1"/>
      <w:numFmt w:val="bullet"/>
      <w:lvlText w:val=""/>
      <w:lvlJc w:val="left"/>
      <w:pPr>
        <w:tabs>
          <w:tab w:val="num" w:pos="2160"/>
        </w:tabs>
        <w:ind w:left="2160" w:hanging="360"/>
      </w:pPr>
      <w:rPr>
        <w:rFonts w:ascii="Symbol" w:hAnsi="Symbol" w:hint="default"/>
      </w:rPr>
    </w:lvl>
    <w:lvl w:ilvl="3" w:tplc="7D4C54DA" w:tentative="1">
      <w:start w:val="1"/>
      <w:numFmt w:val="bullet"/>
      <w:lvlText w:val=""/>
      <w:lvlJc w:val="left"/>
      <w:pPr>
        <w:tabs>
          <w:tab w:val="num" w:pos="2880"/>
        </w:tabs>
        <w:ind w:left="2880" w:hanging="360"/>
      </w:pPr>
      <w:rPr>
        <w:rFonts w:ascii="Symbol" w:hAnsi="Symbol" w:hint="default"/>
      </w:rPr>
    </w:lvl>
    <w:lvl w:ilvl="4" w:tplc="A83E04AE" w:tentative="1">
      <w:start w:val="1"/>
      <w:numFmt w:val="bullet"/>
      <w:lvlText w:val=""/>
      <w:lvlJc w:val="left"/>
      <w:pPr>
        <w:tabs>
          <w:tab w:val="num" w:pos="3600"/>
        </w:tabs>
        <w:ind w:left="3600" w:hanging="360"/>
      </w:pPr>
      <w:rPr>
        <w:rFonts w:ascii="Symbol" w:hAnsi="Symbol" w:hint="default"/>
      </w:rPr>
    </w:lvl>
    <w:lvl w:ilvl="5" w:tplc="E512676A" w:tentative="1">
      <w:start w:val="1"/>
      <w:numFmt w:val="bullet"/>
      <w:lvlText w:val=""/>
      <w:lvlJc w:val="left"/>
      <w:pPr>
        <w:tabs>
          <w:tab w:val="num" w:pos="4320"/>
        </w:tabs>
        <w:ind w:left="4320" w:hanging="360"/>
      </w:pPr>
      <w:rPr>
        <w:rFonts w:ascii="Symbol" w:hAnsi="Symbol" w:hint="default"/>
      </w:rPr>
    </w:lvl>
    <w:lvl w:ilvl="6" w:tplc="BEEAA9F8" w:tentative="1">
      <w:start w:val="1"/>
      <w:numFmt w:val="bullet"/>
      <w:lvlText w:val=""/>
      <w:lvlJc w:val="left"/>
      <w:pPr>
        <w:tabs>
          <w:tab w:val="num" w:pos="5040"/>
        </w:tabs>
        <w:ind w:left="5040" w:hanging="360"/>
      </w:pPr>
      <w:rPr>
        <w:rFonts w:ascii="Symbol" w:hAnsi="Symbol" w:hint="default"/>
      </w:rPr>
    </w:lvl>
    <w:lvl w:ilvl="7" w:tplc="2496F758" w:tentative="1">
      <w:start w:val="1"/>
      <w:numFmt w:val="bullet"/>
      <w:lvlText w:val=""/>
      <w:lvlJc w:val="left"/>
      <w:pPr>
        <w:tabs>
          <w:tab w:val="num" w:pos="5760"/>
        </w:tabs>
        <w:ind w:left="5760" w:hanging="360"/>
      </w:pPr>
      <w:rPr>
        <w:rFonts w:ascii="Symbol" w:hAnsi="Symbol" w:hint="default"/>
      </w:rPr>
    </w:lvl>
    <w:lvl w:ilvl="8" w:tplc="9962C4C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0AC5BD3"/>
    <w:multiLevelType w:val="hybridMultilevel"/>
    <w:tmpl w:val="DA8CB6BE"/>
    <w:lvl w:ilvl="0" w:tplc="338A7D4C">
      <w:start w:val="1"/>
      <w:numFmt w:val="bullet"/>
      <w:lvlText w:val=""/>
      <w:lvlJc w:val="left"/>
      <w:pPr>
        <w:tabs>
          <w:tab w:val="num" w:pos="720"/>
        </w:tabs>
        <w:ind w:left="720" w:hanging="360"/>
      </w:pPr>
      <w:rPr>
        <w:rFonts w:ascii="Symbol" w:hAnsi="Symbol" w:hint="default"/>
      </w:rPr>
    </w:lvl>
    <w:lvl w:ilvl="1" w:tplc="59B27398" w:tentative="1">
      <w:start w:val="1"/>
      <w:numFmt w:val="bullet"/>
      <w:lvlText w:val=""/>
      <w:lvlJc w:val="left"/>
      <w:pPr>
        <w:tabs>
          <w:tab w:val="num" w:pos="1440"/>
        </w:tabs>
        <w:ind w:left="1440" w:hanging="360"/>
      </w:pPr>
      <w:rPr>
        <w:rFonts w:ascii="Symbol" w:hAnsi="Symbol" w:hint="default"/>
      </w:rPr>
    </w:lvl>
    <w:lvl w:ilvl="2" w:tplc="008C7AAC" w:tentative="1">
      <w:start w:val="1"/>
      <w:numFmt w:val="bullet"/>
      <w:lvlText w:val=""/>
      <w:lvlJc w:val="left"/>
      <w:pPr>
        <w:tabs>
          <w:tab w:val="num" w:pos="2160"/>
        </w:tabs>
        <w:ind w:left="2160" w:hanging="360"/>
      </w:pPr>
      <w:rPr>
        <w:rFonts w:ascii="Symbol" w:hAnsi="Symbol" w:hint="default"/>
      </w:rPr>
    </w:lvl>
    <w:lvl w:ilvl="3" w:tplc="88A464C6" w:tentative="1">
      <w:start w:val="1"/>
      <w:numFmt w:val="bullet"/>
      <w:lvlText w:val=""/>
      <w:lvlJc w:val="left"/>
      <w:pPr>
        <w:tabs>
          <w:tab w:val="num" w:pos="2880"/>
        </w:tabs>
        <w:ind w:left="2880" w:hanging="360"/>
      </w:pPr>
      <w:rPr>
        <w:rFonts w:ascii="Symbol" w:hAnsi="Symbol" w:hint="default"/>
      </w:rPr>
    </w:lvl>
    <w:lvl w:ilvl="4" w:tplc="7AF45FEE" w:tentative="1">
      <w:start w:val="1"/>
      <w:numFmt w:val="bullet"/>
      <w:lvlText w:val=""/>
      <w:lvlJc w:val="left"/>
      <w:pPr>
        <w:tabs>
          <w:tab w:val="num" w:pos="3600"/>
        </w:tabs>
        <w:ind w:left="3600" w:hanging="360"/>
      </w:pPr>
      <w:rPr>
        <w:rFonts w:ascii="Symbol" w:hAnsi="Symbol" w:hint="default"/>
      </w:rPr>
    </w:lvl>
    <w:lvl w:ilvl="5" w:tplc="C5CE2CD6" w:tentative="1">
      <w:start w:val="1"/>
      <w:numFmt w:val="bullet"/>
      <w:lvlText w:val=""/>
      <w:lvlJc w:val="left"/>
      <w:pPr>
        <w:tabs>
          <w:tab w:val="num" w:pos="4320"/>
        </w:tabs>
        <w:ind w:left="4320" w:hanging="360"/>
      </w:pPr>
      <w:rPr>
        <w:rFonts w:ascii="Symbol" w:hAnsi="Symbol" w:hint="default"/>
      </w:rPr>
    </w:lvl>
    <w:lvl w:ilvl="6" w:tplc="8BBC1028" w:tentative="1">
      <w:start w:val="1"/>
      <w:numFmt w:val="bullet"/>
      <w:lvlText w:val=""/>
      <w:lvlJc w:val="left"/>
      <w:pPr>
        <w:tabs>
          <w:tab w:val="num" w:pos="5040"/>
        </w:tabs>
        <w:ind w:left="5040" w:hanging="360"/>
      </w:pPr>
      <w:rPr>
        <w:rFonts w:ascii="Symbol" w:hAnsi="Symbol" w:hint="default"/>
      </w:rPr>
    </w:lvl>
    <w:lvl w:ilvl="7" w:tplc="2750A158" w:tentative="1">
      <w:start w:val="1"/>
      <w:numFmt w:val="bullet"/>
      <w:lvlText w:val=""/>
      <w:lvlJc w:val="left"/>
      <w:pPr>
        <w:tabs>
          <w:tab w:val="num" w:pos="5760"/>
        </w:tabs>
        <w:ind w:left="5760" w:hanging="360"/>
      </w:pPr>
      <w:rPr>
        <w:rFonts w:ascii="Symbol" w:hAnsi="Symbol" w:hint="default"/>
      </w:rPr>
    </w:lvl>
    <w:lvl w:ilvl="8" w:tplc="15942C9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395E27"/>
    <w:multiLevelType w:val="hybridMultilevel"/>
    <w:tmpl w:val="7E1EDF44"/>
    <w:lvl w:ilvl="0" w:tplc="AE20ACDE">
      <w:start w:val="1"/>
      <w:numFmt w:val="bullet"/>
      <w:lvlText w:val=""/>
      <w:lvlJc w:val="left"/>
      <w:pPr>
        <w:tabs>
          <w:tab w:val="num" w:pos="720"/>
        </w:tabs>
        <w:ind w:left="720" w:hanging="360"/>
      </w:pPr>
      <w:rPr>
        <w:rFonts w:ascii="Symbol" w:hAnsi="Symbol" w:hint="default"/>
      </w:rPr>
    </w:lvl>
    <w:lvl w:ilvl="1" w:tplc="4EE4E19A" w:tentative="1">
      <w:start w:val="1"/>
      <w:numFmt w:val="bullet"/>
      <w:lvlText w:val=""/>
      <w:lvlJc w:val="left"/>
      <w:pPr>
        <w:tabs>
          <w:tab w:val="num" w:pos="1440"/>
        </w:tabs>
        <w:ind w:left="1440" w:hanging="360"/>
      </w:pPr>
      <w:rPr>
        <w:rFonts w:ascii="Symbol" w:hAnsi="Symbol" w:hint="default"/>
      </w:rPr>
    </w:lvl>
    <w:lvl w:ilvl="2" w:tplc="5B5654DC" w:tentative="1">
      <w:start w:val="1"/>
      <w:numFmt w:val="bullet"/>
      <w:lvlText w:val=""/>
      <w:lvlJc w:val="left"/>
      <w:pPr>
        <w:tabs>
          <w:tab w:val="num" w:pos="2160"/>
        </w:tabs>
        <w:ind w:left="2160" w:hanging="360"/>
      </w:pPr>
      <w:rPr>
        <w:rFonts w:ascii="Symbol" w:hAnsi="Symbol" w:hint="default"/>
      </w:rPr>
    </w:lvl>
    <w:lvl w:ilvl="3" w:tplc="E97AA18A" w:tentative="1">
      <w:start w:val="1"/>
      <w:numFmt w:val="bullet"/>
      <w:lvlText w:val=""/>
      <w:lvlJc w:val="left"/>
      <w:pPr>
        <w:tabs>
          <w:tab w:val="num" w:pos="2880"/>
        </w:tabs>
        <w:ind w:left="2880" w:hanging="360"/>
      </w:pPr>
      <w:rPr>
        <w:rFonts w:ascii="Symbol" w:hAnsi="Symbol" w:hint="default"/>
      </w:rPr>
    </w:lvl>
    <w:lvl w:ilvl="4" w:tplc="C3E256B8" w:tentative="1">
      <w:start w:val="1"/>
      <w:numFmt w:val="bullet"/>
      <w:lvlText w:val=""/>
      <w:lvlJc w:val="left"/>
      <w:pPr>
        <w:tabs>
          <w:tab w:val="num" w:pos="3600"/>
        </w:tabs>
        <w:ind w:left="3600" w:hanging="360"/>
      </w:pPr>
      <w:rPr>
        <w:rFonts w:ascii="Symbol" w:hAnsi="Symbol" w:hint="default"/>
      </w:rPr>
    </w:lvl>
    <w:lvl w:ilvl="5" w:tplc="6AC6B800" w:tentative="1">
      <w:start w:val="1"/>
      <w:numFmt w:val="bullet"/>
      <w:lvlText w:val=""/>
      <w:lvlJc w:val="left"/>
      <w:pPr>
        <w:tabs>
          <w:tab w:val="num" w:pos="4320"/>
        </w:tabs>
        <w:ind w:left="4320" w:hanging="360"/>
      </w:pPr>
      <w:rPr>
        <w:rFonts w:ascii="Symbol" w:hAnsi="Symbol" w:hint="default"/>
      </w:rPr>
    </w:lvl>
    <w:lvl w:ilvl="6" w:tplc="576C2DA8" w:tentative="1">
      <w:start w:val="1"/>
      <w:numFmt w:val="bullet"/>
      <w:lvlText w:val=""/>
      <w:lvlJc w:val="left"/>
      <w:pPr>
        <w:tabs>
          <w:tab w:val="num" w:pos="5040"/>
        </w:tabs>
        <w:ind w:left="5040" w:hanging="360"/>
      </w:pPr>
      <w:rPr>
        <w:rFonts w:ascii="Symbol" w:hAnsi="Symbol" w:hint="default"/>
      </w:rPr>
    </w:lvl>
    <w:lvl w:ilvl="7" w:tplc="FF6C9FDE" w:tentative="1">
      <w:start w:val="1"/>
      <w:numFmt w:val="bullet"/>
      <w:lvlText w:val=""/>
      <w:lvlJc w:val="left"/>
      <w:pPr>
        <w:tabs>
          <w:tab w:val="num" w:pos="5760"/>
        </w:tabs>
        <w:ind w:left="5760" w:hanging="360"/>
      </w:pPr>
      <w:rPr>
        <w:rFonts w:ascii="Symbol" w:hAnsi="Symbol" w:hint="default"/>
      </w:rPr>
    </w:lvl>
    <w:lvl w:ilvl="8" w:tplc="73F049C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5C34929"/>
    <w:multiLevelType w:val="hybridMultilevel"/>
    <w:tmpl w:val="FE5A5E6A"/>
    <w:lvl w:ilvl="0" w:tplc="84C853C2">
      <w:start w:val="1"/>
      <w:numFmt w:val="bullet"/>
      <w:lvlText w:val=""/>
      <w:lvlJc w:val="left"/>
      <w:pPr>
        <w:tabs>
          <w:tab w:val="num" w:pos="720"/>
        </w:tabs>
        <w:ind w:left="720" w:hanging="360"/>
      </w:pPr>
      <w:rPr>
        <w:rFonts w:ascii="Symbol" w:hAnsi="Symbol" w:hint="default"/>
      </w:rPr>
    </w:lvl>
    <w:lvl w:ilvl="1" w:tplc="C58ADDAC" w:tentative="1">
      <w:start w:val="1"/>
      <w:numFmt w:val="bullet"/>
      <w:lvlText w:val=""/>
      <w:lvlJc w:val="left"/>
      <w:pPr>
        <w:tabs>
          <w:tab w:val="num" w:pos="1440"/>
        </w:tabs>
        <w:ind w:left="1440" w:hanging="360"/>
      </w:pPr>
      <w:rPr>
        <w:rFonts w:ascii="Symbol" w:hAnsi="Symbol" w:hint="default"/>
      </w:rPr>
    </w:lvl>
    <w:lvl w:ilvl="2" w:tplc="AFFCD882" w:tentative="1">
      <w:start w:val="1"/>
      <w:numFmt w:val="bullet"/>
      <w:lvlText w:val=""/>
      <w:lvlJc w:val="left"/>
      <w:pPr>
        <w:tabs>
          <w:tab w:val="num" w:pos="2160"/>
        </w:tabs>
        <w:ind w:left="2160" w:hanging="360"/>
      </w:pPr>
      <w:rPr>
        <w:rFonts w:ascii="Symbol" w:hAnsi="Symbol" w:hint="default"/>
      </w:rPr>
    </w:lvl>
    <w:lvl w:ilvl="3" w:tplc="A2423F1A" w:tentative="1">
      <w:start w:val="1"/>
      <w:numFmt w:val="bullet"/>
      <w:lvlText w:val=""/>
      <w:lvlJc w:val="left"/>
      <w:pPr>
        <w:tabs>
          <w:tab w:val="num" w:pos="2880"/>
        </w:tabs>
        <w:ind w:left="2880" w:hanging="360"/>
      </w:pPr>
      <w:rPr>
        <w:rFonts w:ascii="Symbol" w:hAnsi="Symbol" w:hint="default"/>
      </w:rPr>
    </w:lvl>
    <w:lvl w:ilvl="4" w:tplc="1AE04C16" w:tentative="1">
      <w:start w:val="1"/>
      <w:numFmt w:val="bullet"/>
      <w:lvlText w:val=""/>
      <w:lvlJc w:val="left"/>
      <w:pPr>
        <w:tabs>
          <w:tab w:val="num" w:pos="3600"/>
        </w:tabs>
        <w:ind w:left="3600" w:hanging="360"/>
      </w:pPr>
      <w:rPr>
        <w:rFonts w:ascii="Symbol" w:hAnsi="Symbol" w:hint="default"/>
      </w:rPr>
    </w:lvl>
    <w:lvl w:ilvl="5" w:tplc="39BAEAEA" w:tentative="1">
      <w:start w:val="1"/>
      <w:numFmt w:val="bullet"/>
      <w:lvlText w:val=""/>
      <w:lvlJc w:val="left"/>
      <w:pPr>
        <w:tabs>
          <w:tab w:val="num" w:pos="4320"/>
        </w:tabs>
        <w:ind w:left="4320" w:hanging="360"/>
      </w:pPr>
      <w:rPr>
        <w:rFonts w:ascii="Symbol" w:hAnsi="Symbol" w:hint="default"/>
      </w:rPr>
    </w:lvl>
    <w:lvl w:ilvl="6" w:tplc="B5D09492" w:tentative="1">
      <w:start w:val="1"/>
      <w:numFmt w:val="bullet"/>
      <w:lvlText w:val=""/>
      <w:lvlJc w:val="left"/>
      <w:pPr>
        <w:tabs>
          <w:tab w:val="num" w:pos="5040"/>
        </w:tabs>
        <w:ind w:left="5040" w:hanging="360"/>
      </w:pPr>
      <w:rPr>
        <w:rFonts w:ascii="Symbol" w:hAnsi="Symbol" w:hint="default"/>
      </w:rPr>
    </w:lvl>
    <w:lvl w:ilvl="7" w:tplc="0F1862FE" w:tentative="1">
      <w:start w:val="1"/>
      <w:numFmt w:val="bullet"/>
      <w:lvlText w:val=""/>
      <w:lvlJc w:val="left"/>
      <w:pPr>
        <w:tabs>
          <w:tab w:val="num" w:pos="5760"/>
        </w:tabs>
        <w:ind w:left="5760" w:hanging="360"/>
      </w:pPr>
      <w:rPr>
        <w:rFonts w:ascii="Symbol" w:hAnsi="Symbol" w:hint="default"/>
      </w:rPr>
    </w:lvl>
    <w:lvl w:ilvl="8" w:tplc="1026EE8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6EF3FA9"/>
    <w:multiLevelType w:val="hybridMultilevel"/>
    <w:tmpl w:val="1DAA51A8"/>
    <w:lvl w:ilvl="0" w:tplc="CA3E52FC">
      <w:start w:val="2"/>
      <w:numFmt w:val="bullet"/>
      <w:lvlText w:val="-"/>
      <w:lvlJc w:val="left"/>
      <w:pPr>
        <w:ind w:left="1080" w:hanging="360"/>
      </w:pPr>
      <w:rPr>
        <w:rFonts w:ascii="Calibri Light" w:eastAsiaTheme="minorHAns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49347DE"/>
    <w:multiLevelType w:val="hybridMultilevel"/>
    <w:tmpl w:val="81CCDAEA"/>
    <w:lvl w:ilvl="0" w:tplc="E8361220">
      <w:start w:val="1"/>
      <w:numFmt w:val="bullet"/>
      <w:lvlText w:val=""/>
      <w:lvlJc w:val="left"/>
      <w:pPr>
        <w:tabs>
          <w:tab w:val="num" w:pos="720"/>
        </w:tabs>
        <w:ind w:left="720" w:hanging="360"/>
      </w:pPr>
      <w:rPr>
        <w:rFonts w:ascii="Symbol" w:hAnsi="Symbol" w:hint="default"/>
      </w:rPr>
    </w:lvl>
    <w:lvl w:ilvl="1" w:tplc="DD12A74E" w:tentative="1">
      <w:start w:val="1"/>
      <w:numFmt w:val="bullet"/>
      <w:lvlText w:val=""/>
      <w:lvlJc w:val="left"/>
      <w:pPr>
        <w:tabs>
          <w:tab w:val="num" w:pos="1440"/>
        </w:tabs>
        <w:ind w:left="1440" w:hanging="360"/>
      </w:pPr>
      <w:rPr>
        <w:rFonts w:ascii="Symbol" w:hAnsi="Symbol" w:hint="default"/>
      </w:rPr>
    </w:lvl>
    <w:lvl w:ilvl="2" w:tplc="D6AE77B8" w:tentative="1">
      <w:start w:val="1"/>
      <w:numFmt w:val="bullet"/>
      <w:lvlText w:val=""/>
      <w:lvlJc w:val="left"/>
      <w:pPr>
        <w:tabs>
          <w:tab w:val="num" w:pos="2160"/>
        </w:tabs>
        <w:ind w:left="2160" w:hanging="360"/>
      </w:pPr>
      <w:rPr>
        <w:rFonts w:ascii="Symbol" w:hAnsi="Symbol" w:hint="default"/>
      </w:rPr>
    </w:lvl>
    <w:lvl w:ilvl="3" w:tplc="5762DFE2" w:tentative="1">
      <w:start w:val="1"/>
      <w:numFmt w:val="bullet"/>
      <w:lvlText w:val=""/>
      <w:lvlJc w:val="left"/>
      <w:pPr>
        <w:tabs>
          <w:tab w:val="num" w:pos="2880"/>
        </w:tabs>
        <w:ind w:left="2880" w:hanging="360"/>
      </w:pPr>
      <w:rPr>
        <w:rFonts w:ascii="Symbol" w:hAnsi="Symbol" w:hint="default"/>
      </w:rPr>
    </w:lvl>
    <w:lvl w:ilvl="4" w:tplc="A47CBFB4" w:tentative="1">
      <w:start w:val="1"/>
      <w:numFmt w:val="bullet"/>
      <w:lvlText w:val=""/>
      <w:lvlJc w:val="left"/>
      <w:pPr>
        <w:tabs>
          <w:tab w:val="num" w:pos="3600"/>
        </w:tabs>
        <w:ind w:left="3600" w:hanging="360"/>
      </w:pPr>
      <w:rPr>
        <w:rFonts w:ascii="Symbol" w:hAnsi="Symbol" w:hint="default"/>
      </w:rPr>
    </w:lvl>
    <w:lvl w:ilvl="5" w:tplc="F59602BA" w:tentative="1">
      <w:start w:val="1"/>
      <w:numFmt w:val="bullet"/>
      <w:lvlText w:val=""/>
      <w:lvlJc w:val="left"/>
      <w:pPr>
        <w:tabs>
          <w:tab w:val="num" w:pos="4320"/>
        </w:tabs>
        <w:ind w:left="4320" w:hanging="360"/>
      </w:pPr>
      <w:rPr>
        <w:rFonts w:ascii="Symbol" w:hAnsi="Symbol" w:hint="default"/>
      </w:rPr>
    </w:lvl>
    <w:lvl w:ilvl="6" w:tplc="DA44DEE0" w:tentative="1">
      <w:start w:val="1"/>
      <w:numFmt w:val="bullet"/>
      <w:lvlText w:val=""/>
      <w:lvlJc w:val="left"/>
      <w:pPr>
        <w:tabs>
          <w:tab w:val="num" w:pos="5040"/>
        </w:tabs>
        <w:ind w:left="5040" w:hanging="360"/>
      </w:pPr>
      <w:rPr>
        <w:rFonts w:ascii="Symbol" w:hAnsi="Symbol" w:hint="default"/>
      </w:rPr>
    </w:lvl>
    <w:lvl w:ilvl="7" w:tplc="C0DA10F2" w:tentative="1">
      <w:start w:val="1"/>
      <w:numFmt w:val="bullet"/>
      <w:lvlText w:val=""/>
      <w:lvlJc w:val="left"/>
      <w:pPr>
        <w:tabs>
          <w:tab w:val="num" w:pos="5760"/>
        </w:tabs>
        <w:ind w:left="5760" w:hanging="360"/>
      </w:pPr>
      <w:rPr>
        <w:rFonts w:ascii="Symbol" w:hAnsi="Symbol" w:hint="default"/>
      </w:rPr>
    </w:lvl>
    <w:lvl w:ilvl="8" w:tplc="5F76890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2"/>
  </w:num>
  <w:num w:numId="13">
    <w:abstractNumId w:val="16"/>
  </w:num>
  <w:num w:numId="14">
    <w:abstractNumId w:val="25"/>
  </w:num>
  <w:num w:numId="15">
    <w:abstractNumId w:val="17"/>
  </w:num>
  <w:num w:numId="16">
    <w:abstractNumId w:val="10"/>
  </w:num>
  <w:num w:numId="17">
    <w:abstractNumId w:val="3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23"/>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28"/>
  </w:num>
  <w:num w:numId="29">
    <w:abstractNumId w:val="12"/>
  </w:num>
  <w:num w:numId="30">
    <w:abstractNumId w:val="14"/>
  </w:num>
  <w:num w:numId="31">
    <w:abstractNumId w:val="13"/>
  </w:num>
  <w:num w:numId="32">
    <w:abstractNumId w:val="20"/>
  </w:num>
  <w:num w:numId="3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0556F"/>
    <w:rsid w:val="0001254B"/>
    <w:rsid w:val="00013272"/>
    <w:rsid w:val="00021134"/>
    <w:rsid w:val="000331B7"/>
    <w:rsid w:val="000540A0"/>
    <w:rsid w:val="000579B1"/>
    <w:rsid w:val="00061380"/>
    <w:rsid w:val="00074750"/>
    <w:rsid w:val="00074CD6"/>
    <w:rsid w:val="000B0A5D"/>
    <w:rsid w:val="000F2AF9"/>
    <w:rsid w:val="001011C8"/>
    <w:rsid w:val="00125FB0"/>
    <w:rsid w:val="00132462"/>
    <w:rsid w:val="0013252A"/>
    <w:rsid w:val="00140077"/>
    <w:rsid w:val="00143EA6"/>
    <w:rsid w:val="001523D8"/>
    <w:rsid w:val="001566D4"/>
    <w:rsid w:val="00162A8D"/>
    <w:rsid w:val="00176424"/>
    <w:rsid w:val="00184098"/>
    <w:rsid w:val="001867A2"/>
    <w:rsid w:val="0019567B"/>
    <w:rsid w:val="001A5D46"/>
    <w:rsid w:val="001B0353"/>
    <w:rsid w:val="001C139C"/>
    <w:rsid w:val="001C451B"/>
    <w:rsid w:val="001E2CC3"/>
    <w:rsid w:val="001F2BBB"/>
    <w:rsid w:val="0020759E"/>
    <w:rsid w:val="00231ED1"/>
    <w:rsid w:val="0023303F"/>
    <w:rsid w:val="00240356"/>
    <w:rsid w:val="0024300C"/>
    <w:rsid w:val="0024557E"/>
    <w:rsid w:val="002702D9"/>
    <w:rsid w:val="00283F5C"/>
    <w:rsid w:val="003040CA"/>
    <w:rsid w:val="00310ED4"/>
    <w:rsid w:val="0031492A"/>
    <w:rsid w:val="00316504"/>
    <w:rsid w:val="00316C1A"/>
    <w:rsid w:val="00321AF0"/>
    <w:rsid w:val="00350434"/>
    <w:rsid w:val="003558D1"/>
    <w:rsid w:val="00377C8F"/>
    <w:rsid w:val="003931C7"/>
    <w:rsid w:val="003955AE"/>
    <w:rsid w:val="00395B25"/>
    <w:rsid w:val="003A533F"/>
    <w:rsid w:val="003B18A7"/>
    <w:rsid w:val="003F0CEE"/>
    <w:rsid w:val="004215B3"/>
    <w:rsid w:val="00425E7C"/>
    <w:rsid w:val="00444303"/>
    <w:rsid w:val="004561BE"/>
    <w:rsid w:val="00462D4C"/>
    <w:rsid w:val="00473DB9"/>
    <w:rsid w:val="00474063"/>
    <w:rsid w:val="00476EEA"/>
    <w:rsid w:val="00494D4B"/>
    <w:rsid w:val="004A722D"/>
    <w:rsid w:val="004D01C3"/>
    <w:rsid w:val="004F3A80"/>
    <w:rsid w:val="004F53EF"/>
    <w:rsid w:val="00503E04"/>
    <w:rsid w:val="00504B28"/>
    <w:rsid w:val="00513540"/>
    <w:rsid w:val="00522CED"/>
    <w:rsid w:val="00554C04"/>
    <w:rsid w:val="005B6BD3"/>
    <w:rsid w:val="005B7515"/>
    <w:rsid w:val="005C1654"/>
    <w:rsid w:val="005D04F4"/>
    <w:rsid w:val="005D1F34"/>
    <w:rsid w:val="005F5F45"/>
    <w:rsid w:val="00690313"/>
    <w:rsid w:val="00696390"/>
    <w:rsid w:val="006A4AA6"/>
    <w:rsid w:val="006A6BB3"/>
    <w:rsid w:val="006B3680"/>
    <w:rsid w:val="006D5EE5"/>
    <w:rsid w:val="006E06ED"/>
    <w:rsid w:val="006E06F5"/>
    <w:rsid w:val="007039FC"/>
    <w:rsid w:val="00706FAB"/>
    <w:rsid w:val="00707793"/>
    <w:rsid w:val="007169BB"/>
    <w:rsid w:val="00722BD1"/>
    <w:rsid w:val="00725D5E"/>
    <w:rsid w:val="00737326"/>
    <w:rsid w:val="007548CA"/>
    <w:rsid w:val="00770DCB"/>
    <w:rsid w:val="00775485"/>
    <w:rsid w:val="007841E1"/>
    <w:rsid w:val="007D40BD"/>
    <w:rsid w:val="007E1866"/>
    <w:rsid w:val="007E6434"/>
    <w:rsid w:val="00810ABF"/>
    <w:rsid w:val="008125EE"/>
    <w:rsid w:val="008229DE"/>
    <w:rsid w:val="00826CA7"/>
    <w:rsid w:val="0083209A"/>
    <w:rsid w:val="008724DE"/>
    <w:rsid w:val="00890BFD"/>
    <w:rsid w:val="008A2AF7"/>
    <w:rsid w:val="008A3D57"/>
    <w:rsid w:val="008A5953"/>
    <w:rsid w:val="008E3D60"/>
    <w:rsid w:val="008F062F"/>
    <w:rsid w:val="009012A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82615"/>
    <w:rsid w:val="00A84C57"/>
    <w:rsid w:val="00AC27AB"/>
    <w:rsid w:val="00AC6A34"/>
    <w:rsid w:val="00AE76EB"/>
    <w:rsid w:val="00B22697"/>
    <w:rsid w:val="00B277E0"/>
    <w:rsid w:val="00B52E2D"/>
    <w:rsid w:val="00B76653"/>
    <w:rsid w:val="00B976C5"/>
    <w:rsid w:val="00BA262D"/>
    <w:rsid w:val="00BC79EB"/>
    <w:rsid w:val="00BC7D4B"/>
    <w:rsid w:val="00C076F2"/>
    <w:rsid w:val="00C247EB"/>
    <w:rsid w:val="00C25BDA"/>
    <w:rsid w:val="00C53971"/>
    <w:rsid w:val="00C54FB1"/>
    <w:rsid w:val="00C80F9F"/>
    <w:rsid w:val="00CA0D78"/>
    <w:rsid w:val="00CB27A8"/>
    <w:rsid w:val="00CE7182"/>
    <w:rsid w:val="00CF4B93"/>
    <w:rsid w:val="00D36D90"/>
    <w:rsid w:val="00D65C76"/>
    <w:rsid w:val="00D94FAD"/>
    <w:rsid w:val="00DA2F73"/>
    <w:rsid w:val="00DA42E8"/>
    <w:rsid w:val="00DC193F"/>
    <w:rsid w:val="00DC3C4F"/>
    <w:rsid w:val="00DC462F"/>
    <w:rsid w:val="00DE42A5"/>
    <w:rsid w:val="00E23CEC"/>
    <w:rsid w:val="00E24FA3"/>
    <w:rsid w:val="00E328CD"/>
    <w:rsid w:val="00E45954"/>
    <w:rsid w:val="00E7149A"/>
    <w:rsid w:val="00E75D90"/>
    <w:rsid w:val="00E835AF"/>
    <w:rsid w:val="00E97EF8"/>
    <w:rsid w:val="00EB3E23"/>
    <w:rsid w:val="00EC3094"/>
    <w:rsid w:val="00EE44D7"/>
    <w:rsid w:val="00F04560"/>
    <w:rsid w:val="00F137C3"/>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5FBB6"/>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link w:val="ListParagraphChar"/>
    <w:uiPriority w:val="34"/>
    <w:qFormat/>
    <w:rsid w:val="00F04560"/>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F04560"/>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D94FAD"/>
    <w:rPr>
      <w:sz w:val="16"/>
      <w:szCs w:val="16"/>
    </w:rPr>
  </w:style>
  <w:style w:type="paragraph" w:styleId="CommentText">
    <w:name w:val="annotation text"/>
    <w:basedOn w:val="Normal"/>
    <w:link w:val="CommentTextChar"/>
    <w:semiHidden/>
    <w:unhideWhenUsed/>
    <w:locked/>
    <w:rsid w:val="00D94FAD"/>
    <w:rPr>
      <w:sz w:val="20"/>
      <w:szCs w:val="20"/>
    </w:rPr>
  </w:style>
  <w:style w:type="character" w:customStyle="1" w:styleId="CommentTextChar">
    <w:name w:val="Comment Text Char"/>
    <w:basedOn w:val="DefaultParagraphFont"/>
    <w:link w:val="CommentText"/>
    <w:semiHidden/>
    <w:rsid w:val="00D94FAD"/>
    <w:rPr>
      <w:rFonts w:ascii="Arial" w:hAnsi="Arial"/>
    </w:rPr>
  </w:style>
  <w:style w:type="paragraph" w:styleId="CommentSubject">
    <w:name w:val="annotation subject"/>
    <w:basedOn w:val="CommentText"/>
    <w:next w:val="CommentText"/>
    <w:link w:val="CommentSubjectChar"/>
    <w:semiHidden/>
    <w:unhideWhenUsed/>
    <w:locked/>
    <w:rsid w:val="00D94FAD"/>
    <w:rPr>
      <w:b/>
      <w:bCs/>
    </w:rPr>
  </w:style>
  <w:style w:type="character" w:customStyle="1" w:styleId="CommentSubjectChar">
    <w:name w:val="Comment Subject Char"/>
    <w:basedOn w:val="CommentTextChar"/>
    <w:link w:val="CommentSubject"/>
    <w:semiHidden/>
    <w:rsid w:val="00D94FA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Sue Cox</cp:lastModifiedBy>
  <cp:revision>2</cp:revision>
  <cp:lastPrinted>2018-07-20T00:00:00Z</cp:lastPrinted>
  <dcterms:created xsi:type="dcterms:W3CDTF">2018-07-20T03:58:00Z</dcterms:created>
  <dcterms:modified xsi:type="dcterms:W3CDTF">2018-07-20T03:58:00Z</dcterms:modified>
</cp:coreProperties>
</file>